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4F3F" w14:textId="77777777" w:rsidR="00474EB7" w:rsidRDefault="00F12117" w:rsidP="009C5966">
      <w:pPr>
        <w:pStyle w:val="BodyText"/>
        <w:spacing w:before="118"/>
        <w:ind w:left="142"/>
        <w:jc w:val="center"/>
      </w:pPr>
      <w:r>
        <w:rPr>
          <w:color w:val="231F20"/>
          <w:w w:val="105"/>
        </w:rPr>
        <w:t xml:space="preserve">Mini-Vignettes (Middle School) For </w:t>
      </w:r>
      <w:bookmarkStart w:id="0" w:name="_GoBack"/>
      <w:bookmarkEnd w:id="0"/>
      <w:r>
        <w:rPr>
          <w:color w:val="231F20"/>
          <w:w w:val="105"/>
        </w:rPr>
        <w:t>Tool 12.8</w:t>
      </w:r>
    </w:p>
    <w:p w14:paraId="23D208D1" w14:textId="77777777" w:rsidR="00474EB7" w:rsidRDefault="00474EB7">
      <w:pPr>
        <w:pStyle w:val="BodyText"/>
        <w:rPr>
          <w:sz w:val="22"/>
        </w:rPr>
      </w:pPr>
    </w:p>
    <w:tbl>
      <w:tblPr>
        <w:tblW w:w="0" w:type="auto"/>
        <w:tblInd w:w="1005" w:type="dxa"/>
        <w:tblBorders>
          <w:top w:val="single" w:sz="4" w:space="0" w:color="008CA7"/>
          <w:left w:val="single" w:sz="4" w:space="0" w:color="008CA7"/>
          <w:bottom w:val="single" w:sz="4" w:space="0" w:color="008CA7"/>
          <w:right w:val="single" w:sz="4" w:space="0" w:color="008CA7"/>
          <w:insideH w:val="single" w:sz="4" w:space="0" w:color="008CA7"/>
          <w:insideV w:val="single" w:sz="4" w:space="0" w:color="008CA7"/>
        </w:tblBorders>
        <w:tblLayout w:type="fixed"/>
        <w:tblCellMar>
          <w:left w:w="0" w:type="dxa"/>
          <w:right w:w="0" w:type="dxa"/>
        </w:tblCellMar>
        <w:tblLook w:val="01E0" w:firstRow="1" w:lastRow="1" w:firstColumn="1" w:lastColumn="1" w:noHBand="0" w:noVBand="0"/>
      </w:tblPr>
      <w:tblGrid>
        <w:gridCol w:w="4505"/>
        <w:gridCol w:w="4505"/>
      </w:tblGrid>
      <w:tr w:rsidR="00474EB7" w14:paraId="27BB5F30" w14:textId="77777777">
        <w:trPr>
          <w:trHeight w:val="3066"/>
        </w:trPr>
        <w:tc>
          <w:tcPr>
            <w:tcW w:w="4505" w:type="dxa"/>
          </w:tcPr>
          <w:p w14:paraId="4BA9071A" w14:textId="77777777" w:rsidR="00474EB7" w:rsidRDefault="00474EB7">
            <w:pPr>
              <w:pStyle w:val="TableParagraph"/>
              <w:rPr>
                <w:rFonts w:ascii="Industria-Solid"/>
                <w:sz w:val="20"/>
              </w:rPr>
            </w:pPr>
          </w:p>
          <w:p w14:paraId="2E824DBC" w14:textId="77777777" w:rsidR="00474EB7" w:rsidRDefault="00474EB7">
            <w:pPr>
              <w:pStyle w:val="TableParagraph"/>
              <w:rPr>
                <w:rFonts w:ascii="Industria-Solid"/>
                <w:sz w:val="20"/>
              </w:rPr>
            </w:pPr>
          </w:p>
          <w:p w14:paraId="57ECDE3E" w14:textId="77777777" w:rsidR="00474EB7" w:rsidRDefault="00474EB7">
            <w:pPr>
              <w:pStyle w:val="TableParagraph"/>
              <w:rPr>
                <w:rFonts w:ascii="Industria-Solid"/>
                <w:sz w:val="20"/>
              </w:rPr>
            </w:pPr>
          </w:p>
          <w:p w14:paraId="3516CC29" w14:textId="77777777" w:rsidR="00474EB7" w:rsidRDefault="00474EB7">
            <w:pPr>
              <w:pStyle w:val="TableParagraph"/>
              <w:spacing w:before="9"/>
              <w:rPr>
                <w:rFonts w:ascii="Industria-Solid"/>
                <w:sz w:val="21"/>
              </w:rPr>
            </w:pPr>
          </w:p>
          <w:p w14:paraId="46A3205A" w14:textId="77777777" w:rsidR="00474EB7" w:rsidRDefault="00F12117">
            <w:pPr>
              <w:pStyle w:val="TableParagraph"/>
              <w:spacing w:line="254" w:lineRule="auto"/>
              <w:ind w:left="200" w:right="275"/>
              <w:rPr>
                <w:sz w:val="17"/>
              </w:rPr>
            </w:pPr>
            <w:r>
              <w:rPr>
                <w:b/>
                <w:color w:val="231F20"/>
                <w:sz w:val="17"/>
              </w:rPr>
              <w:t xml:space="preserve">D. </w:t>
            </w:r>
            <w:r>
              <w:rPr>
                <w:color w:val="231F20"/>
                <w:sz w:val="17"/>
              </w:rPr>
              <w:t xml:space="preserve">Anna is trying to use what she </w:t>
            </w:r>
            <w:proofErr w:type="gramStart"/>
            <w:r>
              <w:rPr>
                <w:color w:val="231F20"/>
                <w:sz w:val="17"/>
              </w:rPr>
              <w:t>knows  about</w:t>
            </w:r>
            <w:proofErr w:type="gramEnd"/>
            <w:r>
              <w:rPr>
                <w:color w:val="231F20"/>
                <w:sz w:val="17"/>
              </w:rPr>
              <w:t xml:space="preserve"> area of triangles to figure out the area of a parallelogram. She </w:t>
            </w:r>
            <w:r>
              <w:rPr>
                <w:color w:val="231F20"/>
                <w:spacing w:val="1"/>
                <w:sz w:val="17"/>
              </w:rPr>
              <w:t xml:space="preserve">starts </w:t>
            </w:r>
            <w:r>
              <w:rPr>
                <w:color w:val="231F20"/>
                <w:sz w:val="17"/>
              </w:rPr>
              <w:t xml:space="preserve">by laying down different triangles. She notices that she is not forming a parallelogram, so she decides to </w:t>
            </w:r>
            <w:r>
              <w:rPr>
                <w:color w:val="231F20"/>
                <w:spacing w:val="1"/>
                <w:sz w:val="17"/>
              </w:rPr>
              <w:t xml:space="preserve">try </w:t>
            </w:r>
            <w:r>
              <w:rPr>
                <w:color w:val="231F20"/>
                <w:sz w:val="17"/>
              </w:rPr>
              <w:t>to cut an existing parallelogram into triangles to see if that might lead to a</w:t>
            </w:r>
            <w:r>
              <w:rPr>
                <w:color w:val="231F20"/>
                <w:spacing w:val="13"/>
                <w:sz w:val="17"/>
              </w:rPr>
              <w:t xml:space="preserve"> </w:t>
            </w:r>
            <w:r>
              <w:rPr>
                <w:color w:val="231F20"/>
                <w:sz w:val="17"/>
              </w:rPr>
              <w:t>connection.</w:t>
            </w:r>
          </w:p>
        </w:tc>
        <w:tc>
          <w:tcPr>
            <w:tcW w:w="4505" w:type="dxa"/>
          </w:tcPr>
          <w:p w14:paraId="7B1D0644" w14:textId="77777777" w:rsidR="00474EB7" w:rsidRDefault="00474EB7">
            <w:pPr>
              <w:pStyle w:val="TableParagraph"/>
              <w:spacing w:before="2"/>
              <w:rPr>
                <w:rFonts w:ascii="Industria-Solid"/>
                <w:sz w:val="41"/>
              </w:rPr>
            </w:pPr>
          </w:p>
          <w:p w14:paraId="23865C49" w14:textId="77777777" w:rsidR="00F12117" w:rsidRPr="00F12117" w:rsidRDefault="00F12117" w:rsidP="00F12117">
            <w:pPr>
              <w:pStyle w:val="TableParagraph"/>
              <w:kinsoku w:val="0"/>
              <w:overflowPunct w:val="0"/>
              <w:spacing w:before="258" w:line="230" w:lineRule="auto"/>
              <w:ind w:left="200" w:right="348"/>
              <w:rPr>
                <w:color w:val="231F20"/>
                <w:spacing w:val="-4"/>
                <w:w w:val="110"/>
                <w:sz w:val="17"/>
                <w:szCs w:val="17"/>
              </w:rPr>
            </w:pPr>
            <w:r w:rsidRPr="00F12117">
              <w:rPr>
                <w:rFonts w:ascii="Helvetica" w:hAnsi="Helvetica" w:cs="Helvetica"/>
                <w:b/>
                <w:bCs/>
                <w:color w:val="231F20"/>
                <w:spacing w:val="-4"/>
                <w:w w:val="110"/>
                <w:sz w:val="17"/>
                <w:szCs w:val="17"/>
              </w:rPr>
              <w:t xml:space="preserve">H. </w:t>
            </w:r>
            <w:r w:rsidRPr="00F12117">
              <w:rPr>
                <w:color w:val="231F20"/>
                <w:spacing w:val="-4"/>
                <w:w w:val="115"/>
                <w:sz w:val="17"/>
                <w:szCs w:val="17"/>
              </w:rPr>
              <w:t xml:space="preserve">In </w:t>
            </w:r>
            <w:r w:rsidRPr="00F12117">
              <w:rPr>
                <w:color w:val="231F20"/>
                <w:spacing w:val="-4"/>
                <w:w w:val="110"/>
                <w:sz w:val="17"/>
                <w:szCs w:val="17"/>
              </w:rPr>
              <w:t xml:space="preserve">solving the missing value proportion problem </w:t>
            </w:r>
            <w:r w:rsidRPr="00F12117">
              <w:rPr>
                <w:color w:val="231F20"/>
                <w:spacing w:val="-4"/>
                <w:w w:val="110"/>
                <w:position w:val="-16"/>
                <w:sz w:val="17"/>
                <w:szCs w:val="17"/>
              </w:rPr>
              <w:object w:dxaOrig="320" w:dyaOrig="460" w14:anchorId="62772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22.55pt" o:ole="">
                  <v:imagedata r:id="rId5" o:title=""/>
                </v:shape>
                <o:OLEObject Type="Embed" ProgID="Equation.3" ShapeID="_x0000_i1025" DrawAspect="Content" ObjectID="_1584900230" r:id="rId6"/>
              </w:object>
            </w:r>
            <w:r w:rsidRPr="00F12117">
              <w:rPr>
                <w:color w:val="231F20"/>
                <w:spacing w:val="-4"/>
                <w:w w:val="110"/>
                <w:sz w:val="17"/>
                <w:szCs w:val="17"/>
              </w:rPr>
              <w:t xml:space="preserve"> = </w:t>
            </w:r>
            <w:r w:rsidRPr="00F12117">
              <w:rPr>
                <w:color w:val="231F20"/>
                <w:spacing w:val="-4"/>
                <w:w w:val="110"/>
                <w:position w:val="-16"/>
                <w:sz w:val="17"/>
                <w:szCs w:val="17"/>
              </w:rPr>
              <w:object w:dxaOrig="280" w:dyaOrig="460" w14:anchorId="10DEF98E">
                <v:shape id="_x0000_i1026" type="#_x0000_t75" style="width:14.4pt;height:22.55pt" o:ole="">
                  <v:imagedata r:id="rId7" o:title=""/>
                </v:shape>
                <o:OLEObject Type="Embed" ProgID="Equation.3" ShapeID="_x0000_i1026" DrawAspect="Content" ObjectID="_1584900231" r:id="rId8"/>
              </w:object>
            </w:r>
            <w:r w:rsidRPr="00F12117">
              <w:rPr>
                <w:color w:val="231F20"/>
                <w:spacing w:val="-4"/>
                <w:w w:val="110"/>
                <w:sz w:val="17"/>
                <w:szCs w:val="17"/>
              </w:rPr>
              <w:t>,Ethan looks for a factor</w:t>
            </w:r>
          </w:p>
          <w:p w14:paraId="748F207A" w14:textId="77777777" w:rsidR="00F12117" w:rsidRDefault="00F12117" w:rsidP="00F12117">
            <w:pPr>
              <w:pStyle w:val="TableParagraph"/>
              <w:kinsoku w:val="0"/>
              <w:overflowPunct w:val="0"/>
              <w:spacing w:line="196" w:lineRule="exact"/>
              <w:ind w:left="200"/>
              <w:rPr>
                <w:color w:val="231F20"/>
                <w:sz w:val="17"/>
                <w:szCs w:val="17"/>
              </w:rPr>
            </w:pPr>
            <w:proofErr w:type="gramStart"/>
            <w:r>
              <w:rPr>
                <w:color w:val="231F20"/>
                <w:sz w:val="17"/>
                <w:szCs w:val="17"/>
              </w:rPr>
              <w:t>between</w:t>
            </w:r>
            <w:proofErr w:type="gramEnd"/>
            <w:r>
              <w:rPr>
                <w:color w:val="231F20"/>
                <w:sz w:val="17"/>
                <w:szCs w:val="17"/>
              </w:rPr>
              <w:t xml:space="preserve"> 14 and 32. Then, he looks for a factor</w:t>
            </w:r>
          </w:p>
          <w:p w14:paraId="31DDDEDC" w14:textId="77777777" w:rsidR="00474EB7" w:rsidRDefault="00F12117" w:rsidP="00F12117">
            <w:pPr>
              <w:pStyle w:val="TableParagraph"/>
              <w:spacing w:before="89" w:line="254" w:lineRule="auto"/>
              <w:ind w:left="200" w:right="275"/>
              <w:rPr>
                <w:sz w:val="17"/>
              </w:rPr>
            </w:pPr>
            <w:proofErr w:type="gramStart"/>
            <w:r>
              <w:rPr>
                <w:color w:val="231F20"/>
                <w:w w:val="105"/>
                <w:sz w:val="17"/>
                <w:szCs w:val="17"/>
              </w:rPr>
              <w:t>between</w:t>
            </w:r>
            <w:proofErr w:type="gramEnd"/>
            <w:r>
              <w:rPr>
                <w:color w:val="231F20"/>
                <w:w w:val="105"/>
                <w:sz w:val="17"/>
                <w:szCs w:val="17"/>
              </w:rPr>
              <w:t xml:space="preserve"> 3.5 and 14 and notices that 3.5 doubled is 7 and doubled again is 14. He then realizes the answer is 8 (one-fourth of 32).</w:t>
            </w:r>
          </w:p>
        </w:tc>
      </w:tr>
      <w:tr w:rsidR="00474EB7" w14:paraId="657FC901" w14:textId="77777777">
        <w:trPr>
          <w:trHeight w:val="3066"/>
        </w:trPr>
        <w:tc>
          <w:tcPr>
            <w:tcW w:w="4505" w:type="dxa"/>
          </w:tcPr>
          <w:p w14:paraId="5A3F6FEE" w14:textId="77777777" w:rsidR="00474EB7" w:rsidRDefault="00474EB7">
            <w:pPr>
              <w:pStyle w:val="TableParagraph"/>
              <w:rPr>
                <w:rFonts w:ascii="Industria-Solid"/>
                <w:sz w:val="20"/>
              </w:rPr>
            </w:pPr>
          </w:p>
          <w:p w14:paraId="4EB5DFD7" w14:textId="77777777" w:rsidR="00474EB7" w:rsidRDefault="00474EB7">
            <w:pPr>
              <w:pStyle w:val="TableParagraph"/>
              <w:rPr>
                <w:rFonts w:ascii="Industria-Solid"/>
                <w:sz w:val="20"/>
              </w:rPr>
            </w:pPr>
          </w:p>
          <w:p w14:paraId="325927E7" w14:textId="77777777" w:rsidR="00474EB7" w:rsidRDefault="00F12117">
            <w:pPr>
              <w:pStyle w:val="TableParagraph"/>
              <w:spacing w:before="173" w:line="254" w:lineRule="auto"/>
              <w:ind w:left="200" w:right="278"/>
              <w:rPr>
                <w:sz w:val="17"/>
              </w:rPr>
            </w:pPr>
            <w:r>
              <w:rPr>
                <w:b/>
                <w:color w:val="231F20"/>
                <w:sz w:val="17"/>
              </w:rPr>
              <w:t xml:space="preserve">A. </w:t>
            </w:r>
            <w:r>
              <w:rPr>
                <w:color w:val="231F20"/>
                <w:sz w:val="17"/>
              </w:rPr>
              <w:t>Noah is building triangles. He says, “The longest side cannot be more than the other two sides.” Nick says, “It can’t be the same as the other two sides either.” Amy says, “Yes, they can be the same, just not greater.” Maria says, “No, if the long side was the same, then the two other sides would stretch out flat.</w:t>
            </w:r>
          </w:p>
          <w:p w14:paraId="215C98DE" w14:textId="77777777" w:rsidR="00474EB7" w:rsidRDefault="00F12117">
            <w:pPr>
              <w:pStyle w:val="TableParagraph"/>
              <w:spacing w:before="7" w:line="254" w:lineRule="auto"/>
              <w:ind w:left="200" w:right="672"/>
              <w:rPr>
                <w:sz w:val="17"/>
              </w:rPr>
            </w:pPr>
            <w:r>
              <w:rPr>
                <w:color w:val="231F20"/>
                <w:sz w:val="17"/>
              </w:rPr>
              <w:t>It has to be smaller, even if only by a tiny amount.”</w:t>
            </w:r>
          </w:p>
        </w:tc>
        <w:tc>
          <w:tcPr>
            <w:tcW w:w="4505" w:type="dxa"/>
          </w:tcPr>
          <w:p w14:paraId="78614F37" w14:textId="77777777" w:rsidR="00474EB7" w:rsidRDefault="00474EB7">
            <w:pPr>
              <w:pStyle w:val="TableParagraph"/>
              <w:rPr>
                <w:rFonts w:ascii="Industria-Solid"/>
                <w:sz w:val="20"/>
              </w:rPr>
            </w:pPr>
          </w:p>
          <w:p w14:paraId="4828F7A0" w14:textId="77777777" w:rsidR="00474EB7" w:rsidRDefault="00474EB7">
            <w:pPr>
              <w:pStyle w:val="TableParagraph"/>
              <w:rPr>
                <w:rFonts w:ascii="Industria-Solid"/>
                <w:sz w:val="20"/>
              </w:rPr>
            </w:pPr>
          </w:p>
          <w:p w14:paraId="66B09EB2" w14:textId="77777777" w:rsidR="00474EB7" w:rsidRDefault="00474EB7">
            <w:pPr>
              <w:pStyle w:val="TableParagraph"/>
              <w:rPr>
                <w:rFonts w:ascii="Industria-Solid"/>
                <w:sz w:val="20"/>
              </w:rPr>
            </w:pPr>
          </w:p>
          <w:p w14:paraId="20C5103F" w14:textId="77777777" w:rsidR="00474EB7" w:rsidRDefault="00474EB7">
            <w:pPr>
              <w:pStyle w:val="TableParagraph"/>
              <w:rPr>
                <w:rFonts w:ascii="Industria-Solid"/>
                <w:sz w:val="20"/>
              </w:rPr>
            </w:pPr>
          </w:p>
          <w:p w14:paraId="430D04D9" w14:textId="77777777" w:rsidR="00474EB7" w:rsidRDefault="00F12117">
            <w:pPr>
              <w:pStyle w:val="TableParagraph"/>
              <w:spacing w:before="128" w:line="254" w:lineRule="auto"/>
              <w:ind w:left="200" w:right="275"/>
              <w:rPr>
                <w:i/>
                <w:sz w:val="17"/>
              </w:rPr>
            </w:pPr>
            <w:r>
              <w:rPr>
                <w:b/>
                <w:color w:val="231F20"/>
                <w:sz w:val="17"/>
              </w:rPr>
              <w:t xml:space="preserve">E. </w:t>
            </w:r>
            <w:r>
              <w:rPr>
                <w:color w:val="231F20"/>
                <w:sz w:val="17"/>
              </w:rPr>
              <w:t xml:space="preserve">Rachel is working on a task dealing with constant speed. She is given a few ordered pairs to plot and then asked to find additional points on the line. She realizes that an equation would help her find additional points and writes the formula: </w:t>
            </w:r>
            <w:r>
              <w:rPr>
                <w:i/>
                <w:color w:val="231F20"/>
                <w:sz w:val="17"/>
              </w:rPr>
              <w:t xml:space="preserve">d </w:t>
            </w:r>
            <w:r>
              <w:rPr>
                <w:color w:val="231F20"/>
                <w:sz w:val="17"/>
              </w:rPr>
              <w:t>= 55</w:t>
            </w:r>
            <w:r>
              <w:rPr>
                <w:i/>
                <w:color w:val="231F20"/>
                <w:sz w:val="17"/>
              </w:rPr>
              <w:t>t.</w:t>
            </w:r>
          </w:p>
        </w:tc>
      </w:tr>
      <w:tr w:rsidR="00474EB7" w14:paraId="6B432933" w14:textId="77777777">
        <w:trPr>
          <w:trHeight w:val="3066"/>
        </w:trPr>
        <w:tc>
          <w:tcPr>
            <w:tcW w:w="4505" w:type="dxa"/>
          </w:tcPr>
          <w:p w14:paraId="724F12D6" w14:textId="77777777" w:rsidR="00474EB7" w:rsidRDefault="00474EB7">
            <w:pPr>
              <w:pStyle w:val="TableParagraph"/>
              <w:rPr>
                <w:rFonts w:ascii="Industria-Solid"/>
                <w:sz w:val="20"/>
              </w:rPr>
            </w:pPr>
          </w:p>
          <w:p w14:paraId="5E929606" w14:textId="77777777" w:rsidR="00474EB7" w:rsidRDefault="00474EB7">
            <w:pPr>
              <w:pStyle w:val="TableParagraph"/>
              <w:rPr>
                <w:rFonts w:ascii="Industria-Solid"/>
                <w:sz w:val="20"/>
              </w:rPr>
            </w:pPr>
          </w:p>
          <w:p w14:paraId="38924ECE" w14:textId="77777777" w:rsidR="00474EB7" w:rsidRDefault="00F12117">
            <w:pPr>
              <w:pStyle w:val="TableParagraph"/>
              <w:spacing w:before="173" w:line="254" w:lineRule="auto"/>
              <w:ind w:left="200" w:right="275"/>
              <w:rPr>
                <w:sz w:val="17"/>
              </w:rPr>
            </w:pPr>
            <w:r>
              <w:rPr>
                <w:b/>
                <w:color w:val="231F20"/>
                <w:sz w:val="17"/>
              </w:rPr>
              <w:t xml:space="preserve">B. </w:t>
            </w:r>
            <w:r>
              <w:rPr>
                <w:color w:val="231F20"/>
                <w:sz w:val="17"/>
              </w:rPr>
              <w:t xml:space="preserve">Pairs of students are charged with showing that the angles of a triangle equal 180º. Andrew and </w:t>
            </w:r>
            <w:proofErr w:type="spellStart"/>
            <w:r>
              <w:rPr>
                <w:color w:val="231F20"/>
                <w:sz w:val="17"/>
              </w:rPr>
              <w:t>Alexa</w:t>
            </w:r>
            <w:proofErr w:type="spellEnd"/>
            <w:r>
              <w:rPr>
                <w:color w:val="231F20"/>
                <w:sz w:val="17"/>
              </w:rPr>
              <w:t xml:space="preserve"> choose to use protractors, draw triangles, and measure the angles. Leah and </w:t>
            </w:r>
            <w:proofErr w:type="spellStart"/>
            <w:r>
              <w:rPr>
                <w:color w:val="231F20"/>
                <w:sz w:val="17"/>
              </w:rPr>
              <w:t>Lexi</w:t>
            </w:r>
            <w:proofErr w:type="spellEnd"/>
            <w:r>
              <w:rPr>
                <w:color w:val="231F20"/>
                <w:sz w:val="17"/>
              </w:rPr>
              <w:t xml:space="preserve"> decide to cut out three identical triangles and line up a different angle from each triangle to make a straight line. And several partners are at a computer, using </w:t>
            </w:r>
            <w:proofErr w:type="spellStart"/>
            <w:r>
              <w:rPr>
                <w:color w:val="231F20"/>
                <w:sz w:val="17"/>
              </w:rPr>
              <w:t>GeoGebra</w:t>
            </w:r>
            <w:proofErr w:type="spellEnd"/>
            <w:r>
              <w:rPr>
                <w:color w:val="231F20"/>
                <w:sz w:val="17"/>
              </w:rPr>
              <w:t xml:space="preserve"> to work on the problem.</w:t>
            </w:r>
          </w:p>
        </w:tc>
        <w:tc>
          <w:tcPr>
            <w:tcW w:w="4505" w:type="dxa"/>
          </w:tcPr>
          <w:p w14:paraId="5FE5FA85" w14:textId="77777777" w:rsidR="00474EB7" w:rsidRDefault="00474EB7">
            <w:pPr>
              <w:pStyle w:val="TableParagraph"/>
              <w:rPr>
                <w:rFonts w:ascii="Industria-Solid"/>
                <w:sz w:val="20"/>
              </w:rPr>
            </w:pPr>
          </w:p>
          <w:p w14:paraId="6E61871D" w14:textId="77777777" w:rsidR="00474EB7" w:rsidRDefault="00474EB7">
            <w:pPr>
              <w:pStyle w:val="TableParagraph"/>
              <w:rPr>
                <w:rFonts w:ascii="Industria-Solid"/>
                <w:sz w:val="20"/>
              </w:rPr>
            </w:pPr>
          </w:p>
          <w:p w14:paraId="2E896670" w14:textId="77777777" w:rsidR="00474EB7" w:rsidRDefault="00474EB7">
            <w:pPr>
              <w:pStyle w:val="TableParagraph"/>
              <w:spacing w:before="9"/>
              <w:rPr>
                <w:rFonts w:ascii="Industria-Solid"/>
                <w:sz w:val="21"/>
              </w:rPr>
            </w:pPr>
          </w:p>
          <w:p w14:paraId="682B96C0" w14:textId="77777777" w:rsidR="00474EB7" w:rsidRDefault="00F12117">
            <w:pPr>
              <w:pStyle w:val="TableParagraph"/>
              <w:spacing w:line="254" w:lineRule="auto"/>
              <w:ind w:left="200" w:right="275"/>
              <w:rPr>
                <w:sz w:val="17"/>
              </w:rPr>
            </w:pPr>
            <w:r>
              <w:rPr>
                <w:b/>
                <w:color w:val="231F20"/>
                <w:sz w:val="17"/>
              </w:rPr>
              <w:t xml:space="preserve">F. </w:t>
            </w:r>
            <w:r>
              <w:rPr>
                <w:color w:val="231F20"/>
                <w:sz w:val="17"/>
              </w:rPr>
              <w:t>Marta and Alicia have both measured the same rectangular solid, but they notice their answers are different. They compare their measures of each side. Alicia says, “You rounded to the nearest whole number, and I rounded to the tenths place. That is going to change the answers.”</w:t>
            </w:r>
          </w:p>
        </w:tc>
      </w:tr>
      <w:tr w:rsidR="00474EB7" w14:paraId="654817DF" w14:textId="77777777" w:rsidTr="009C5966">
        <w:trPr>
          <w:trHeight w:val="3067"/>
        </w:trPr>
        <w:tc>
          <w:tcPr>
            <w:tcW w:w="4505" w:type="dxa"/>
          </w:tcPr>
          <w:p w14:paraId="0A90877C" w14:textId="77777777" w:rsidR="00474EB7" w:rsidRDefault="00474EB7">
            <w:pPr>
              <w:pStyle w:val="TableParagraph"/>
              <w:rPr>
                <w:rFonts w:ascii="Industria-Solid"/>
                <w:sz w:val="20"/>
              </w:rPr>
            </w:pPr>
          </w:p>
          <w:p w14:paraId="65AA608F" w14:textId="77777777" w:rsidR="00474EB7" w:rsidRDefault="00474EB7">
            <w:pPr>
              <w:pStyle w:val="TableParagraph"/>
              <w:rPr>
                <w:rFonts w:ascii="Industria-Solid"/>
                <w:sz w:val="20"/>
              </w:rPr>
            </w:pPr>
          </w:p>
          <w:p w14:paraId="544736D9" w14:textId="77777777" w:rsidR="00474EB7" w:rsidRDefault="00474EB7">
            <w:pPr>
              <w:pStyle w:val="TableParagraph"/>
              <w:rPr>
                <w:rFonts w:ascii="Industria-Solid"/>
                <w:sz w:val="20"/>
              </w:rPr>
            </w:pPr>
          </w:p>
          <w:p w14:paraId="6D0FCB4D" w14:textId="77777777" w:rsidR="00474EB7" w:rsidRDefault="00474EB7">
            <w:pPr>
              <w:pStyle w:val="TableParagraph"/>
              <w:rPr>
                <w:rFonts w:ascii="Industria-Solid"/>
                <w:sz w:val="25"/>
              </w:rPr>
            </w:pPr>
          </w:p>
          <w:p w14:paraId="11F729C8" w14:textId="77777777" w:rsidR="00474EB7" w:rsidRDefault="00F12117">
            <w:pPr>
              <w:pStyle w:val="TableParagraph"/>
              <w:spacing w:line="254" w:lineRule="auto"/>
              <w:ind w:left="200" w:right="296"/>
              <w:rPr>
                <w:sz w:val="17"/>
              </w:rPr>
            </w:pPr>
            <w:r>
              <w:rPr>
                <w:b/>
                <w:color w:val="231F20"/>
                <w:spacing w:val="1"/>
                <w:sz w:val="17"/>
              </w:rPr>
              <w:t xml:space="preserve">C. </w:t>
            </w:r>
            <w:r>
              <w:rPr>
                <w:color w:val="231F20"/>
                <w:sz w:val="17"/>
              </w:rPr>
              <w:t xml:space="preserve">In simplifying expressions, Amanda notices that in the expression </w:t>
            </w:r>
            <w:r>
              <w:rPr>
                <w:color w:val="231F20"/>
                <w:spacing w:val="-3"/>
                <w:sz w:val="17"/>
              </w:rPr>
              <w:t>6(</w:t>
            </w:r>
            <w:r>
              <w:rPr>
                <w:i/>
                <w:color w:val="231F20"/>
                <w:spacing w:val="-3"/>
                <w:sz w:val="17"/>
              </w:rPr>
              <w:t xml:space="preserve">n </w:t>
            </w:r>
            <w:r>
              <w:rPr>
                <w:color w:val="231F20"/>
                <w:sz w:val="17"/>
              </w:rPr>
              <w:t xml:space="preserve">+ </w:t>
            </w:r>
            <w:r>
              <w:rPr>
                <w:color w:val="231F20"/>
                <w:spacing w:val="-7"/>
                <w:sz w:val="17"/>
              </w:rPr>
              <w:t xml:space="preserve">1) </w:t>
            </w:r>
            <w:r>
              <w:rPr>
                <w:color w:val="231F20"/>
                <w:sz w:val="17"/>
              </w:rPr>
              <w:t xml:space="preserve">– </w:t>
            </w:r>
            <w:r>
              <w:rPr>
                <w:color w:val="231F20"/>
                <w:spacing w:val="-3"/>
                <w:sz w:val="17"/>
              </w:rPr>
              <w:t>4(</w:t>
            </w:r>
            <w:r>
              <w:rPr>
                <w:i/>
                <w:color w:val="231F20"/>
                <w:spacing w:val="-3"/>
                <w:sz w:val="17"/>
              </w:rPr>
              <w:t xml:space="preserve">n </w:t>
            </w:r>
            <w:r>
              <w:rPr>
                <w:i/>
                <w:color w:val="231F20"/>
                <w:sz w:val="17"/>
              </w:rPr>
              <w:t xml:space="preserve">+ </w:t>
            </w:r>
            <w:r>
              <w:rPr>
                <w:color w:val="231F20"/>
                <w:spacing w:val="-7"/>
                <w:sz w:val="17"/>
              </w:rPr>
              <w:t xml:space="preserve">1), </w:t>
            </w:r>
            <w:r>
              <w:rPr>
                <w:color w:val="231F20"/>
                <w:sz w:val="17"/>
              </w:rPr>
              <w:t xml:space="preserve">the expressions inside the parentheses match, so she can subtract the groups and get </w:t>
            </w:r>
            <w:r>
              <w:rPr>
                <w:color w:val="231F20"/>
                <w:spacing w:val="-4"/>
                <w:sz w:val="17"/>
              </w:rPr>
              <w:t>2(</w:t>
            </w:r>
            <w:r>
              <w:rPr>
                <w:i/>
                <w:color w:val="231F20"/>
                <w:spacing w:val="-4"/>
                <w:sz w:val="17"/>
              </w:rPr>
              <w:t xml:space="preserve">n </w:t>
            </w:r>
            <w:r>
              <w:rPr>
                <w:color w:val="231F20"/>
                <w:sz w:val="17"/>
              </w:rPr>
              <w:t xml:space="preserve">+ </w:t>
            </w:r>
            <w:r>
              <w:rPr>
                <w:color w:val="231F20"/>
                <w:spacing w:val="-7"/>
                <w:sz w:val="17"/>
              </w:rPr>
              <w:t xml:space="preserve">1) </w:t>
            </w:r>
            <w:r>
              <w:rPr>
                <w:color w:val="231F20"/>
                <w:sz w:val="17"/>
              </w:rPr>
              <w:t xml:space="preserve">rather than apply the distributive </w:t>
            </w:r>
            <w:r>
              <w:rPr>
                <w:color w:val="231F20"/>
                <w:spacing w:val="1"/>
                <w:sz w:val="17"/>
              </w:rPr>
              <w:t xml:space="preserve">property </w:t>
            </w:r>
            <w:r>
              <w:rPr>
                <w:color w:val="231F20"/>
                <w:sz w:val="17"/>
              </w:rPr>
              <w:t>as a first step.</w:t>
            </w:r>
          </w:p>
        </w:tc>
        <w:tc>
          <w:tcPr>
            <w:tcW w:w="4505" w:type="dxa"/>
          </w:tcPr>
          <w:p w14:paraId="520AAB35" w14:textId="77777777" w:rsidR="00474EB7" w:rsidRDefault="00F12117">
            <w:pPr>
              <w:pStyle w:val="TableParagraph"/>
              <w:spacing w:before="156" w:line="271" w:lineRule="auto"/>
              <w:ind w:left="200" w:right="275"/>
              <w:rPr>
                <w:sz w:val="16"/>
              </w:rPr>
            </w:pPr>
            <w:r>
              <w:rPr>
                <w:b/>
                <w:color w:val="231F20"/>
                <w:sz w:val="16"/>
              </w:rPr>
              <w:t xml:space="preserve">G. </w:t>
            </w:r>
            <w:r>
              <w:rPr>
                <w:color w:val="231F20"/>
                <w:sz w:val="16"/>
              </w:rPr>
              <w:t>The class is working on integer operations on the number line. They solve problems such as these:</w:t>
            </w:r>
          </w:p>
          <w:p w14:paraId="7E56EA04" w14:textId="77777777" w:rsidR="00474EB7" w:rsidRDefault="00474EB7">
            <w:pPr>
              <w:pStyle w:val="TableParagraph"/>
              <w:spacing w:before="3"/>
              <w:rPr>
                <w:rFonts w:ascii="Industria-Solid"/>
                <w:sz w:val="19"/>
              </w:rPr>
            </w:pPr>
          </w:p>
          <w:p w14:paraId="43411DBD" w14:textId="5CFD1244" w:rsidR="00474EB7" w:rsidRDefault="00F12117" w:rsidP="009C5966">
            <w:pPr>
              <w:pStyle w:val="TableParagraph"/>
              <w:tabs>
                <w:tab w:val="left" w:pos="1583"/>
              </w:tabs>
              <w:ind w:left="300"/>
              <w:rPr>
                <w:sz w:val="16"/>
              </w:rPr>
            </w:pPr>
            <w:r>
              <w:rPr>
                <w:color w:val="231F20"/>
                <w:spacing w:val="-4"/>
                <w:sz w:val="16"/>
              </w:rPr>
              <w:t xml:space="preserve">-3 </w:t>
            </w:r>
            <w:r>
              <w:rPr>
                <w:color w:val="231F20"/>
                <w:sz w:val="16"/>
              </w:rPr>
              <w:t xml:space="preserve">+ </w:t>
            </w:r>
            <w:r>
              <w:rPr>
                <w:color w:val="231F20"/>
                <w:spacing w:val="-4"/>
                <w:sz w:val="16"/>
              </w:rPr>
              <w:t>14</w:t>
            </w:r>
            <w:r>
              <w:rPr>
                <w:color w:val="231F20"/>
                <w:spacing w:val="3"/>
                <w:sz w:val="16"/>
              </w:rPr>
              <w:t xml:space="preserve"> </w:t>
            </w:r>
            <w:r>
              <w:rPr>
                <w:color w:val="231F20"/>
                <w:sz w:val="16"/>
              </w:rPr>
              <w:t>=</w:t>
            </w:r>
            <w:r>
              <w:rPr>
                <w:color w:val="231F20"/>
                <w:spacing w:val="-1"/>
                <w:sz w:val="16"/>
              </w:rPr>
              <w:t xml:space="preserve"> </w:t>
            </w:r>
            <w:r>
              <w:rPr>
                <w:color w:val="231F20"/>
                <w:sz w:val="16"/>
                <w:u w:val="single" w:color="231F20"/>
              </w:rPr>
              <w:t xml:space="preserve"> </w:t>
            </w:r>
            <w:r>
              <w:rPr>
                <w:color w:val="231F20"/>
                <w:sz w:val="16"/>
                <w:u w:val="single" w:color="231F20"/>
              </w:rPr>
              <w:tab/>
            </w:r>
            <w:r w:rsidR="009C5966" w:rsidRPr="009C5966">
              <w:rPr>
                <w:color w:val="231F20"/>
                <w:sz w:val="16"/>
              </w:rPr>
              <w:t xml:space="preserve"> </w:t>
            </w:r>
            <w:r w:rsidR="009C5966" w:rsidRPr="009C5966">
              <w:rPr>
                <w:color w:val="231F20"/>
                <w:sz w:val="16"/>
              </w:rPr>
              <w:tab/>
            </w:r>
            <w:r>
              <w:rPr>
                <w:color w:val="231F20"/>
                <w:spacing w:val="-6"/>
                <w:sz w:val="16"/>
              </w:rPr>
              <w:t xml:space="preserve">-15 </w:t>
            </w:r>
            <w:r>
              <w:rPr>
                <w:color w:val="231F20"/>
                <w:sz w:val="16"/>
              </w:rPr>
              <w:t xml:space="preserve">+ </w:t>
            </w:r>
            <w:r>
              <w:rPr>
                <w:color w:val="231F20"/>
                <w:spacing w:val="-3"/>
                <w:sz w:val="16"/>
              </w:rPr>
              <w:t>10</w:t>
            </w:r>
            <w:r>
              <w:rPr>
                <w:color w:val="231F20"/>
                <w:spacing w:val="5"/>
                <w:sz w:val="16"/>
              </w:rPr>
              <w:t xml:space="preserve"> </w:t>
            </w:r>
            <w:r>
              <w:rPr>
                <w:color w:val="231F20"/>
                <w:sz w:val="16"/>
              </w:rPr>
              <w:t>=</w:t>
            </w:r>
            <w:r>
              <w:rPr>
                <w:color w:val="231F20"/>
                <w:spacing w:val="-1"/>
                <w:sz w:val="16"/>
              </w:rPr>
              <w:t xml:space="preserve"> </w:t>
            </w:r>
            <w:r>
              <w:rPr>
                <w:color w:val="231F20"/>
                <w:sz w:val="16"/>
                <w:u w:val="single" w:color="231F20"/>
              </w:rPr>
              <w:t xml:space="preserve"> </w:t>
            </w:r>
            <w:r>
              <w:rPr>
                <w:color w:val="231F20"/>
                <w:sz w:val="16"/>
                <w:u w:val="single" w:color="231F20"/>
              </w:rPr>
              <w:tab/>
            </w:r>
          </w:p>
          <w:p w14:paraId="341EA6D0" w14:textId="77777777" w:rsidR="00474EB7" w:rsidRDefault="00474EB7">
            <w:pPr>
              <w:pStyle w:val="TableParagraph"/>
              <w:spacing w:before="9"/>
              <w:rPr>
                <w:rFonts w:ascii="Industria-Solid"/>
                <w:sz w:val="21"/>
              </w:rPr>
            </w:pPr>
          </w:p>
          <w:p w14:paraId="16F25A86" w14:textId="77777777" w:rsidR="00474EB7" w:rsidRDefault="00F12117" w:rsidP="009C5966">
            <w:pPr>
              <w:pStyle w:val="TableParagraph"/>
              <w:tabs>
                <w:tab w:val="left" w:pos="2008"/>
              </w:tabs>
              <w:ind w:left="1299"/>
              <w:rPr>
                <w:sz w:val="16"/>
              </w:rPr>
            </w:pPr>
            <w:r>
              <w:rPr>
                <w:color w:val="231F20"/>
                <w:sz w:val="16"/>
              </w:rPr>
              <w:t xml:space="preserve">21 + </w:t>
            </w:r>
            <w:r>
              <w:rPr>
                <w:color w:val="231F20"/>
                <w:spacing w:val="-6"/>
                <w:sz w:val="16"/>
              </w:rPr>
              <w:t>(-30)</w:t>
            </w:r>
            <w:r>
              <w:rPr>
                <w:color w:val="231F20"/>
                <w:spacing w:val="-4"/>
                <w:sz w:val="16"/>
              </w:rPr>
              <w:t xml:space="preserve"> </w:t>
            </w:r>
            <w:r>
              <w:rPr>
                <w:color w:val="231F20"/>
                <w:sz w:val="16"/>
              </w:rPr>
              <w:t>=</w:t>
            </w:r>
            <w:r>
              <w:rPr>
                <w:color w:val="231F20"/>
                <w:spacing w:val="-1"/>
                <w:sz w:val="16"/>
              </w:rPr>
              <w:t xml:space="preserve"> </w:t>
            </w:r>
            <w:r>
              <w:rPr>
                <w:color w:val="231F20"/>
                <w:sz w:val="16"/>
                <w:u w:val="single" w:color="231F20"/>
              </w:rPr>
              <w:t xml:space="preserve"> </w:t>
            </w:r>
            <w:r>
              <w:rPr>
                <w:color w:val="231F20"/>
                <w:sz w:val="16"/>
                <w:u w:val="single" w:color="231F20"/>
              </w:rPr>
              <w:tab/>
            </w:r>
          </w:p>
          <w:p w14:paraId="6AA55F5B" w14:textId="77777777" w:rsidR="00474EB7" w:rsidRDefault="00F12117" w:rsidP="009C5966">
            <w:pPr>
              <w:pStyle w:val="TableParagraph"/>
              <w:spacing w:before="240" w:line="271" w:lineRule="auto"/>
              <w:ind w:left="200" w:right="228"/>
              <w:rPr>
                <w:sz w:val="16"/>
              </w:rPr>
            </w:pPr>
            <w:r>
              <w:rPr>
                <w:color w:val="231F20"/>
                <w:sz w:val="16"/>
              </w:rPr>
              <w:t xml:space="preserve">Kelly notices that whenever the signs </w:t>
            </w:r>
            <w:proofErr w:type="gramStart"/>
            <w:r>
              <w:rPr>
                <w:color w:val="231F20"/>
                <w:sz w:val="16"/>
              </w:rPr>
              <w:t>are  different</w:t>
            </w:r>
            <w:proofErr w:type="gramEnd"/>
            <w:r>
              <w:rPr>
                <w:color w:val="231F20"/>
                <w:sz w:val="16"/>
              </w:rPr>
              <w:t xml:space="preserve"> she moves back to zero and then jumps the rest of the distance </w:t>
            </w:r>
            <w:r>
              <w:rPr>
                <w:color w:val="231F20"/>
                <w:spacing w:val="-4"/>
                <w:sz w:val="16"/>
              </w:rPr>
              <w:t xml:space="preserve">(e.g., </w:t>
            </w:r>
            <w:r>
              <w:rPr>
                <w:color w:val="231F20"/>
                <w:sz w:val="16"/>
              </w:rPr>
              <w:t xml:space="preserve">for </w:t>
            </w:r>
            <w:r>
              <w:rPr>
                <w:color w:val="231F20"/>
                <w:spacing w:val="-4"/>
                <w:sz w:val="16"/>
              </w:rPr>
              <w:t xml:space="preserve">-3 </w:t>
            </w:r>
            <w:r>
              <w:rPr>
                <w:color w:val="231F20"/>
                <w:sz w:val="16"/>
              </w:rPr>
              <w:t xml:space="preserve">+ </w:t>
            </w:r>
            <w:r>
              <w:rPr>
                <w:color w:val="231F20"/>
                <w:spacing w:val="-5"/>
                <w:sz w:val="16"/>
              </w:rPr>
              <w:t xml:space="preserve">14, </w:t>
            </w:r>
            <w:r>
              <w:rPr>
                <w:color w:val="231F20"/>
                <w:sz w:val="16"/>
              </w:rPr>
              <w:t xml:space="preserve">she moves </w:t>
            </w:r>
            <w:r>
              <w:rPr>
                <w:color w:val="231F20"/>
                <w:spacing w:val="-6"/>
                <w:sz w:val="16"/>
              </w:rPr>
              <w:t xml:space="preserve">+3 </w:t>
            </w:r>
            <w:r>
              <w:rPr>
                <w:color w:val="231F20"/>
                <w:sz w:val="16"/>
              </w:rPr>
              <w:t xml:space="preserve">to zero and then up to </w:t>
            </w:r>
            <w:r>
              <w:rPr>
                <w:color w:val="231F20"/>
                <w:spacing w:val="-6"/>
                <w:sz w:val="16"/>
              </w:rPr>
              <w:t xml:space="preserve">11). </w:t>
            </w:r>
            <w:r>
              <w:rPr>
                <w:color w:val="231F20"/>
                <w:sz w:val="16"/>
              </w:rPr>
              <w:t xml:space="preserve">She notices that this answer looks like the difference of </w:t>
            </w:r>
            <w:r>
              <w:rPr>
                <w:color w:val="231F20"/>
                <w:spacing w:val="-4"/>
                <w:sz w:val="16"/>
              </w:rPr>
              <w:t xml:space="preserve">14 </w:t>
            </w:r>
            <w:r>
              <w:rPr>
                <w:color w:val="231F20"/>
                <w:sz w:val="16"/>
              </w:rPr>
              <w:t>and 3 and uses this idea to solve other</w:t>
            </w:r>
            <w:r>
              <w:rPr>
                <w:color w:val="231F20"/>
                <w:spacing w:val="45"/>
                <w:sz w:val="16"/>
              </w:rPr>
              <w:t xml:space="preserve"> </w:t>
            </w:r>
            <w:r>
              <w:rPr>
                <w:color w:val="231F20"/>
                <w:sz w:val="16"/>
              </w:rPr>
              <w:t>problems.</w:t>
            </w:r>
          </w:p>
        </w:tc>
      </w:tr>
    </w:tbl>
    <w:p w14:paraId="19C8C2D8" w14:textId="77777777" w:rsidR="00474EB7" w:rsidRDefault="00474EB7">
      <w:pPr>
        <w:pStyle w:val="BodyText"/>
        <w:spacing w:before="7"/>
        <w:rPr>
          <w:sz w:val="37"/>
        </w:rPr>
      </w:pPr>
    </w:p>
    <w:p w14:paraId="45E7A379" w14:textId="77777777" w:rsidR="00474EB7" w:rsidRDefault="009C5966">
      <w:pPr>
        <w:spacing w:line="264" w:lineRule="auto"/>
        <w:ind w:left="100"/>
        <w:rPr>
          <w:sz w:val="12"/>
        </w:rPr>
      </w:pPr>
      <w:r>
        <w:pict w14:anchorId="551866FF">
          <v:shape id="_x0000_s1026" style="position:absolute;left:0;text-align:left;margin-left:531pt;margin-top:-48.95pt;width:14.95pt;height:24pt;z-index:1048;mso-position-horizontal-relative:page" coordorigin="10620,-979" coordsize="299,480" o:spt="100" adj="0,,0" path="m10693,-599r-15,4l10666,-581r-4,20l10665,-540r10,19l10690,-506r19,6l10728,-502r16,-10l10747,-517r-35,l10701,-520r-9,-7l10684,-538r-5,-13l10678,-563r4,-10l10691,-581r13,-3l10750,-584r-3,-9l10727,-593r-16,-4l10693,-599xm10750,-584r-46,l10716,-581r10,8l10734,-562r4,12l10738,-539r-4,10l10725,-521r-13,4l10747,-517r8,-12l10757,-554r-5,-24l10750,-584xm10795,-684r-36,l10776,-675r15,14l10803,-644r11,16l10827,-611r15,14l10860,-587r21,2l10899,-592r12,-12l10875,-604r-10,-2l10856,-613r-8,-11l10843,-637r-1,-9l10826,-646r-6,-7l10813,-662r-6,-8l10801,-678r-6,-6xm10620,-839r1,42l10650,-766r45,49l10706,-700r3,19l10709,-665r,4l10712,-641r4,12l10720,-617r4,12l10727,-593r20,l10734,-625r-3,-19l10731,-666r9,-16l10759,-684r36,l10794,-686r-8,-6l10778,-699r-8,-6l10760,-712r-12,-6l10738,-739r,-11l10736,-766r-38,l10682,-781r-45,-43l10620,-839xm10897,-672r-29,l10879,-669r10,7l10897,-651r4,13l10902,-637r-1,8l10901,-625r-5,10l10885,-606r-10,2l10911,-604r,l10919,-620r,-18l10905,-665r-8,-7xm10854,-689r-22,19l10828,-662r,1l10826,-646r16,l10842,-650r4,-11l10856,-669r12,-3l10897,-672r-16,-13l10854,-689xm10666,-979r2,18l10671,-943r3,18l10677,-907r19,123l10698,-775r1,9l10699,-766r,l10698,-766r38,l10732,-802r-5,-41l10720,-884r-11,-39l10702,-940r-9,-16l10681,-970r-15,-9xm10699,-766r,l10699,-766r,xe" fillcolor="#939598" stroked="f">
            <v:stroke joinstyle="round"/>
            <v:formulas/>
            <v:path arrowok="t" o:connecttype="segments"/>
            <w10:wrap anchorx="page"/>
          </v:shape>
        </w:pict>
      </w:r>
      <w:r w:rsidR="00F12117">
        <w:rPr>
          <w:color w:val="231F20"/>
          <w:sz w:val="12"/>
        </w:rPr>
        <w:t xml:space="preserve">Retrieved from the companion website for </w:t>
      </w:r>
      <w:r w:rsidR="00F12117">
        <w:rPr>
          <w:i/>
          <w:color w:val="231F20"/>
          <w:sz w:val="12"/>
        </w:rPr>
        <w:t xml:space="preserve">Everything You Need for Mathematics Coaching: Tools, Plans, and A Process That Works: Grades K–12 </w:t>
      </w:r>
      <w:r w:rsidR="00F12117">
        <w:rPr>
          <w:color w:val="231F20"/>
          <w:sz w:val="12"/>
        </w:rPr>
        <w:t xml:space="preserve">by Maggie B. </w:t>
      </w:r>
      <w:proofErr w:type="spellStart"/>
      <w:r w:rsidR="00F12117">
        <w:rPr>
          <w:color w:val="231F20"/>
          <w:sz w:val="12"/>
        </w:rPr>
        <w:t>McGatha</w:t>
      </w:r>
      <w:proofErr w:type="spellEnd"/>
      <w:r w:rsidR="00F12117">
        <w:rPr>
          <w:color w:val="231F20"/>
          <w:sz w:val="12"/>
        </w:rPr>
        <w:t xml:space="preserve"> and Jennifer M. Bay-Williams with Beth McCord </w:t>
      </w:r>
      <w:proofErr w:type="spellStart"/>
      <w:r w:rsidR="00F12117">
        <w:rPr>
          <w:color w:val="231F20"/>
          <w:sz w:val="12"/>
        </w:rPr>
        <w:t>Kobett</w:t>
      </w:r>
      <w:proofErr w:type="spellEnd"/>
      <w:r w:rsidR="00F12117">
        <w:rPr>
          <w:color w:val="231F20"/>
          <w:sz w:val="12"/>
        </w:rPr>
        <w:t xml:space="preserve"> and Jonathan A. Wray. Thousand Oaks, CA: Corwi</w:t>
      </w:r>
      <w:hyperlink r:id="rId9">
        <w:r w:rsidR="00F12117">
          <w:rPr>
            <w:color w:val="231F20"/>
            <w:sz w:val="12"/>
          </w:rPr>
          <w:t xml:space="preserve">n, www.corwin.com. </w:t>
        </w:r>
      </w:hyperlink>
      <w:proofErr w:type="gramStart"/>
      <w:r w:rsidR="00F12117">
        <w:rPr>
          <w:color w:val="231F20"/>
          <w:sz w:val="12"/>
        </w:rPr>
        <w:t>Copyright © 2018 by Corwin.</w:t>
      </w:r>
      <w:proofErr w:type="gramEnd"/>
      <w:r w:rsidR="00F12117">
        <w:rPr>
          <w:color w:val="231F20"/>
          <w:sz w:val="12"/>
        </w:rPr>
        <w:t xml:space="preserve"> All rights reserved. Reproduction authorized only for the local school site or nonprofit organization that has purchased this book.</w:t>
      </w:r>
    </w:p>
    <w:sectPr w:rsidR="00474EB7">
      <w:type w:val="continuous"/>
      <w:pgSz w:w="12240" w:h="15840"/>
      <w:pgMar w:top="60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Industria-Solid">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74EB7"/>
    <w:rsid w:val="00474EB7"/>
    <w:rsid w:val="009C5966"/>
    <w:rsid w:val="00F1211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8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rFonts w:ascii="Industria-Solid" w:eastAsia="Industria-Solid" w:hAnsi="Industria-Solid" w:cs="Industria-Solid"/>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Jeya Keerthi Santhana Raj</cp:lastModifiedBy>
  <cp:revision>3</cp:revision>
  <dcterms:created xsi:type="dcterms:W3CDTF">2018-04-06T17:27:00Z</dcterms:created>
  <dcterms:modified xsi:type="dcterms:W3CDTF">2018-04-10T15:47:00Z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Adobe InDesign CC 2017 (Macintosh)</vt:lpwstr>
  </property>
  <property fmtid="{D5CDD505-2E9C-101B-9397-08002B2CF9AE}" pid="4" name="LastSaved">
    <vt:filetime>2018-04-06T00:00:00Z</vt:filetime>
  </property>
</Properties>
</file>