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663" w:rsidRDefault="0028394F" w:rsidP="0028394F">
      <w:pPr>
        <w:pStyle w:val="BodyText"/>
        <w:spacing w:before="118"/>
        <w:ind w:left="1985"/>
      </w:pPr>
      <w:r>
        <w:rPr>
          <w:color w:val="231F20"/>
          <w:w w:val="105"/>
        </w:rPr>
        <w:t>Mini-Vignettes (High School) For Tool 12.8</w:t>
      </w:r>
    </w:p>
    <w:p w:rsidR="00963663" w:rsidRDefault="00963663">
      <w:pPr>
        <w:pStyle w:val="BodyText"/>
        <w:spacing w:before="3"/>
        <w:rPr>
          <w:sz w:val="22"/>
        </w:rPr>
      </w:pPr>
    </w:p>
    <w:tbl>
      <w:tblPr>
        <w:tblW w:w="0" w:type="auto"/>
        <w:tblInd w:w="1005" w:type="dxa"/>
        <w:tblBorders>
          <w:top w:val="single" w:sz="4" w:space="0" w:color="008CA7"/>
          <w:left w:val="single" w:sz="4" w:space="0" w:color="008CA7"/>
          <w:bottom w:val="single" w:sz="4" w:space="0" w:color="008CA7"/>
          <w:right w:val="single" w:sz="4" w:space="0" w:color="008CA7"/>
          <w:insideH w:val="single" w:sz="4" w:space="0" w:color="008CA7"/>
          <w:insideV w:val="single" w:sz="4" w:space="0" w:color="008CA7"/>
        </w:tblBorders>
        <w:tblLayout w:type="fixed"/>
        <w:tblCellMar>
          <w:left w:w="0" w:type="dxa"/>
          <w:right w:w="0" w:type="dxa"/>
        </w:tblCellMar>
        <w:tblLook w:val="01E0" w:firstRow="1" w:lastRow="1" w:firstColumn="1" w:lastColumn="1" w:noHBand="0" w:noVBand="0"/>
      </w:tblPr>
      <w:tblGrid>
        <w:gridCol w:w="4505"/>
        <w:gridCol w:w="4505"/>
      </w:tblGrid>
      <w:tr w:rsidR="00963663">
        <w:trPr>
          <w:trHeight w:val="3066"/>
        </w:trPr>
        <w:tc>
          <w:tcPr>
            <w:tcW w:w="4505" w:type="dxa"/>
          </w:tcPr>
          <w:p w:rsidR="00963663" w:rsidRDefault="00963663">
            <w:pPr>
              <w:pStyle w:val="TableParagraph"/>
              <w:rPr>
                <w:rFonts w:ascii="Industria-Solid"/>
                <w:sz w:val="20"/>
              </w:rPr>
            </w:pPr>
          </w:p>
          <w:p w:rsidR="00963663" w:rsidRDefault="00963663">
            <w:pPr>
              <w:pStyle w:val="TableParagraph"/>
              <w:rPr>
                <w:rFonts w:ascii="Industria-Solid"/>
                <w:sz w:val="20"/>
              </w:rPr>
            </w:pPr>
          </w:p>
          <w:p w:rsidR="00963663" w:rsidRDefault="0028394F">
            <w:pPr>
              <w:pStyle w:val="TableParagraph"/>
              <w:spacing w:before="173" w:line="254" w:lineRule="auto"/>
              <w:ind w:left="200" w:right="375"/>
              <w:rPr>
                <w:sz w:val="17"/>
              </w:rPr>
            </w:pPr>
            <w:r>
              <w:rPr>
                <w:b/>
                <w:color w:val="231F20"/>
                <w:sz w:val="17"/>
              </w:rPr>
              <w:t xml:space="preserve">D. </w:t>
            </w:r>
            <w:r>
              <w:rPr>
                <w:color w:val="231F20"/>
                <w:sz w:val="17"/>
              </w:rPr>
              <w:t>Anna has been asked to develop a model that would describe how long it takes to get from one end of the high scho</w:t>
            </w:r>
            <w:bookmarkStart w:id="0" w:name="_GoBack"/>
            <w:bookmarkEnd w:id="0"/>
            <w:r>
              <w:rPr>
                <w:color w:val="231F20"/>
                <w:sz w:val="17"/>
              </w:rPr>
              <w:t xml:space="preserve">ol to the other at various times of the </w:t>
            </w:r>
            <w:r>
              <w:rPr>
                <w:color w:val="231F20"/>
                <w:spacing w:val="-4"/>
                <w:sz w:val="17"/>
              </w:rPr>
              <w:t xml:space="preserve">day. </w:t>
            </w:r>
            <w:r>
              <w:rPr>
                <w:color w:val="231F20"/>
                <w:sz w:val="17"/>
              </w:rPr>
              <w:t xml:space="preserve">She gathers data and begins to create equations to describe the hallway passage time in order to predict travel time. </w:t>
            </w:r>
            <w:r>
              <w:rPr>
                <w:color w:val="231F20"/>
                <w:spacing w:val="1"/>
                <w:sz w:val="17"/>
              </w:rPr>
              <w:t xml:space="preserve">As </w:t>
            </w:r>
            <w:r>
              <w:rPr>
                <w:color w:val="231F20"/>
                <w:sz w:val="17"/>
              </w:rPr>
              <w:t>she works, she</w:t>
            </w:r>
            <w:r>
              <w:rPr>
                <w:color w:val="231F20"/>
                <w:spacing w:val="8"/>
                <w:sz w:val="17"/>
              </w:rPr>
              <w:t xml:space="preserve"> </w:t>
            </w:r>
            <w:r>
              <w:rPr>
                <w:color w:val="231F20"/>
                <w:sz w:val="17"/>
              </w:rPr>
              <w:t>monitors</w:t>
            </w:r>
          </w:p>
          <w:p w:rsidR="00963663" w:rsidRDefault="0028394F">
            <w:pPr>
              <w:pStyle w:val="TableParagraph"/>
              <w:spacing w:before="7" w:line="254" w:lineRule="auto"/>
              <w:ind w:left="200"/>
              <w:rPr>
                <w:sz w:val="17"/>
              </w:rPr>
            </w:pPr>
            <w:proofErr w:type="gramStart"/>
            <w:r>
              <w:rPr>
                <w:color w:val="231F20"/>
                <w:sz w:val="17"/>
              </w:rPr>
              <w:t>and</w:t>
            </w:r>
            <w:proofErr w:type="gramEnd"/>
            <w:r>
              <w:rPr>
                <w:color w:val="231F20"/>
                <w:sz w:val="17"/>
              </w:rPr>
              <w:t xml:space="preserve"> evaluates her progress and adapts her strategy when it doesn’t seem to be working.</w:t>
            </w:r>
          </w:p>
        </w:tc>
        <w:tc>
          <w:tcPr>
            <w:tcW w:w="4505" w:type="dxa"/>
          </w:tcPr>
          <w:p w:rsidR="00963663" w:rsidRDefault="00963663">
            <w:pPr>
              <w:pStyle w:val="TableParagraph"/>
              <w:rPr>
                <w:rFonts w:ascii="Industria-Solid"/>
                <w:sz w:val="20"/>
              </w:rPr>
            </w:pPr>
          </w:p>
          <w:p w:rsidR="00963663" w:rsidRDefault="00963663">
            <w:pPr>
              <w:pStyle w:val="TableParagraph"/>
              <w:rPr>
                <w:rFonts w:ascii="Industria-Solid"/>
                <w:sz w:val="20"/>
              </w:rPr>
            </w:pPr>
          </w:p>
          <w:p w:rsidR="00963663" w:rsidRDefault="00963663">
            <w:pPr>
              <w:pStyle w:val="TableParagraph"/>
              <w:rPr>
                <w:rFonts w:ascii="Industria-Solid"/>
                <w:sz w:val="20"/>
              </w:rPr>
            </w:pPr>
          </w:p>
          <w:p w:rsidR="00963663" w:rsidRDefault="00963663">
            <w:pPr>
              <w:pStyle w:val="TableParagraph"/>
              <w:rPr>
                <w:rFonts w:ascii="Industria-Solid"/>
                <w:sz w:val="20"/>
              </w:rPr>
            </w:pPr>
          </w:p>
          <w:p w:rsidR="00963663" w:rsidRDefault="0028394F">
            <w:pPr>
              <w:pStyle w:val="TableParagraph"/>
              <w:spacing w:before="128"/>
              <w:ind w:left="200"/>
              <w:rPr>
                <w:sz w:val="17"/>
              </w:rPr>
            </w:pPr>
            <w:r>
              <w:rPr>
                <w:b/>
                <w:color w:val="231F20"/>
                <w:sz w:val="17"/>
              </w:rPr>
              <w:t xml:space="preserve">H. </w:t>
            </w:r>
            <w:r>
              <w:rPr>
                <w:color w:val="231F20"/>
                <w:sz w:val="17"/>
              </w:rPr>
              <w:t xml:space="preserve">In solving for </w:t>
            </w:r>
            <w:r>
              <w:rPr>
                <w:i/>
                <w:color w:val="231F20"/>
                <w:sz w:val="17"/>
              </w:rPr>
              <w:t xml:space="preserve">n </w:t>
            </w:r>
            <w:r>
              <w:rPr>
                <w:color w:val="231F20"/>
                <w:sz w:val="17"/>
              </w:rPr>
              <w:t>in 6(</w:t>
            </w:r>
            <w:r>
              <w:rPr>
                <w:i/>
                <w:color w:val="231F20"/>
                <w:sz w:val="17"/>
              </w:rPr>
              <w:t xml:space="preserve">n </w:t>
            </w:r>
            <w:r>
              <w:rPr>
                <w:color w:val="231F20"/>
                <w:sz w:val="17"/>
              </w:rPr>
              <w:t>+ 1) – 4(</w:t>
            </w:r>
            <w:r>
              <w:rPr>
                <w:i/>
                <w:color w:val="231F20"/>
                <w:sz w:val="17"/>
              </w:rPr>
              <w:t xml:space="preserve">n + </w:t>
            </w:r>
            <w:r>
              <w:rPr>
                <w:color w:val="231F20"/>
                <w:sz w:val="17"/>
              </w:rPr>
              <w:t>1) =</w:t>
            </w:r>
          </w:p>
          <w:p w:rsidR="00963663" w:rsidRDefault="0028394F">
            <w:pPr>
              <w:pStyle w:val="TableParagraph"/>
              <w:spacing w:before="14" w:line="254" w:lineRule="auto"/>
              <w:ind w:left="200" w:right="374"/>
              <w:rPr>
                <w:sz w:val="17"/>
              </w:rPr>
            </w:pPr>
            <w:r>
              <w:rPr>
                <w:color w:val="231F20"/>
                <w:spacing w:val="-4"/>
                <w:sz w:val="17"/>
              </w:rPr>
              <w:t xml:space="preserve">-30, </w:t>
            </w:r>
            <w:r>
              <w:rPr>
                <w:color w:val="231F20"/>
                <w:sz w:val="17"/>
              </w:rPr>
              <w:t>Carlos says, “We can divide both sides by two and have a simpler problem, and it will still be equal. In other words, if 6 bags of something minus 4 bags of something</w:t>
            </w:r>
            <w:r>
              <w:rPr>
                <w:color w:val="231F20"/>
                <w:spacing w:val="21"/>
                <w:sz w:val="17"/>
              </w:rPr>
              <w:t xml:space="preserve"> </w:t>
            </w:r>
            <w:r>
              <w:rPr>
                <w:color w:val="231F20"/>
                <w:sz w:val="17"/>
              </w:rPr>
              <w:t>equal</w:t>
            </w:r>
          </w:p>
          <w:p w:rsidR="00963663" w:rsidRDefault="0028394F">
            <w:pPr>
              <w:pStyle w:val="TableParagraph"/>
              <w:spacing w:before="4"/>
              <w:ind w:left="200"/>
              <w:rPr>
                <w:sz w:val="17"/>
              </w:rPr>
            </w:pPr>
            <w:r>
              <w:rPr>
                <w:color w:val="231F20"/>
                <w:sz w:val="17"/>
              </w:rPr>
              <w:t>-30, then half as much of each will equal -15.”</w:t>
            </w:r>
          </w:p>
        </w:tc>
      </w:tr>
      <w:tr w:rsidR="00963663">
        <w:trPr>
          <w:trHeight w:val="3066"/>
        </w:trPr>
        <w:tc>
          <w:tcPr>
            <w:tcW w:w="4505" w:type="dxa"/>
          </w:tcPr>
          <w:p w:rsidR="00963663" w:rsidRDefault="00963663">
            <w:pPr>
              <w:pStyle w:val="TableParagraph"/>
              <w:rPr>
                <w:rFonts w:ascii="Industria-Solid"/>
                <w:sz w:val="20"/>
              </w:rPr>
            </w:pPr>
          </w:p>
          <w:p w:rsidR="00963663" w:rsidRDefault="00963663">
            <w:pPr>
              <w:pStyle w:val="TableParagraph"/>
              <w:rPr>
                <w:rFonts w:ascii="Industria-Solid"/>
                <w:sz w:val="20"/>
              </w:rPr>
            </w:pPr>
          </w:p>
          <w:p w:rsidR="00963663" w:rsidRDefault="00963663">
            <w:pPr>
              <w:pStyle w:val="TableParagraph"/>
              <w:rPr>
                <w:rFonts w:ascii="Industria-Solid"/>
                <w:sz w:val="20"/>
              </w:rPr>
            </w:pPr>
          </w:p>
          <w:p w:rsidR="00963663" w:rsidRDefault="0028394F">
            <w:pPr>
              <w:pStyle w:val="TableParagraph"/>
              <w:spacing w:before="95" w:line="254" w:lineRule="auto"/>
              <w:ind w:left="200" w:right="327"/>
              <w:rPr>
                <w:sz w:val="17"/>
              </w:rPr>
            </w:pPr>
            <w:r>
              <w:rPr>
                <w:b/>
                <w:color w:val="231F20"/>
                <w:spacing w:val="1"/>
                <w:sz w:val="17"/>
              </w:rPr>
              <w:t xml:space="preserve">A. </w:t>
            </w:r>
            <w:r>
              <w:rPr>
                <w:color w:val="231F20"/>
                <w:sz w:val="17"/>
              </w:rPr>
              <w:t xml:space="preserve">Noah is building triangles. He says, “The longest side cannot be more than the other two sides.” Nick says, “It can’t be the same as the two sides </w:t>
            </w:r>
            <w:r>
              <w:rPr>
                <w:color w:val="231F20"/>
                <w:spacing w:val="-3"/>
                <w:sz w:val="17"/>
              </w:rPr>
              <w:t xml:space="preserve">either.” </w:t>
            </w:r>
            <w:r>
              <w:rPr>
                <w:color w:val="231F20"/>
                <w:sz w:val="17"/>
              </w:rPr>
              <w:t>Amy says, “Yes,</w:t>
            </w:r>
            <w:r>
              <w:rPr>
                <w:color w:val="231F20"/>
                <w:spacing w:val="21"/>
                <w:sz w:val="17"/>
              </w:rPr>
              <w:t xml:space="preserve"> </w:t>
            </w:r>
            <w:r>
              <w:rPr>
                <w:color w:val="231F20"/>
                <w:sz w:val="17"/>
              </w:rPr>
              <w:t>they</w:t>
            </w:r>
          </w:p>
          <w:p w:rsidR="00963663" w:rsidRDefault="0028394F">
            <w:pPr>
              <w:pStyle w:val="TableParagraph"/>
              <w:spacing w:before="4" w:line="254" w:lineRule="auto"/>
              <w:ind w:left="200" w:right="205"/>
              <w:rPr>
                <w:sz w:val="17"/>
              </w:rPr>
            </w:pPr>
            <w:proofErr w:type="gramStart"/>
            <w:r>
              <w:rPr>
                <w:color w:val="231F20"/>
                <w:sz w:val="17"/>
              </w:rPr>
              <w:t>can</w:t>
            </w:r>
            <w:proofErr w:type="gramEnd"/>
            <w:r>
              <w:rPr>
                <w:color w:val="231F20"/>
                <w:sz w:val="17"/>
              </w:rPr>
              <w:t xml:space="preserve"> be the same, just not greater.” Maria says, “No, if the long side was th</w:t>
            </w:r>
            <w:r>
              <w:rPr>
                <w:color w:val="231F20"/>
                <w:sz w:val="17"/>
              </w:rPr>
              <w:t>e same, then the two other sides would stretch out flat. It has to be smaller, even if only by a tiny</w:t>
            </w:r>
            <w:r>
              <w:rPr>
                <w:color w:val="231F20"/>
                <w:spacing w:val="-9"/>
                <w:sz w:val="17"/>
              </w:rPr>
              <w:t xml:space="preserve"> </w:t>
            </w:r>
            <w:r>
              <w:rPr>
                <w:color w:val="231F20"/>
                <w:sz w:val="17"/>
              </w:rPr>
              <w:t>amount.”</w:t>
            </w:r>
          </w:p>
        </w:tc>
        <w:tc>
          <w:tcPr>
            <w:tcW w:w="4505" w:type="dxa"/>
          </w:tcPr>
          <w:p w:rsidR="00963663" w:rsidRDefault="00963663">
            <w:pPr>
              <w:pStyle w:val="TableParagraph"/>
              <w:rPr>
                <w:rFonts w:ascii="Industria-Solid"/>
                <w:sz w:val="20"/>
              </w:rPr>
            </w:pPr>
          </w:p>
          <w:p w:rsidR="00963663" w:rsidRDefault="00963663">
            <w:pPr>
              <w:pStyle w:val="TableParagraph"/>
              <w:rPr>
                <w:rFonts w:ascii="Industria-Solid"/>
                <w:sz w:val="20"/>
              </w:rPr>
            </w:pPr>
          </w:p>
          <w:p w:rsidR="00963663" w:rsidRDefault="00963663">
            <w:pPr>
              <w:pStyle w:val="TableParagraph"/>
              <w:spacing w:before="5"/>
              <w:rPr>
                <w:rFonts w:ascii="Industria-Solid"/>
                <w:sz w:val="20"/>
              </w:rPr>
            </w:pPr>
          </w:p>
          <w:p w:rsidR="00963663" w:rsidRDefault="0028394F">
            <w:pPr>
              <w:pStyle w:val="TableParagraph"/>
              <w:spacing w:line="254" w:lineRule="auto"/>
              <w:ind w:left="200" w:right="278"/>
              <w:rPr>
                <w:sz w:val="17"/>
              </w:rPr>
            </w:pPr>
            <w:r>
              <w:rPr>
                <w:b/>
                <w:color w:val="231F20"/>
                <w:sz w:val="17"/>
              </w:rPr>
              <w:t xml:space="preserve">E. </w:t>
            </w:r>
            <w:r>
              <w:rPr>
                <w:color w:val="231F20"/>
                <w:sz w:val="17"/>
              </w:rPr>
              <w:t xml:space="preserve">Rachel is trying to determine which of four stores </w:t>
            </w:r>
            <w:r>
              <w:rPr>
                <w:color w:val="231F20"/>
                <w:spacing w:val="1"/>
                <w:sz w:val="17"/>
              </w:rPr>
              <w:t xml:space="preserve">offers </w:t>
            </w:r>
            <w:r>
              <w:rPr>
                <w:color w:val="231F20"/>
                <w:sz w:val="17"/>
              </w:rPr>
              <w:t>the biggest percentage price reductions on items. She is listing the costs for it</w:t>
            </w:r>
            <w:r>
              <w:rPr>
                <w:color w:val="231F20"/>
                <w:sz w:val="17"/>
              </w:rPr>
              <w:t>ems of the same price. She realizes that an equation would help her with this work and writes a formula to help determine two items for the price of</w:t>
            </w:r>
            <w:r>
              <w:rPr>
                <w:color w:val="231F20"/>
                <w:sz w:val="17"/>
              </w:rPr>
              <w:t xml:space="preserve"> </w:t>
            </w:r>
            <w:r>
              <w:rPr>
                <w:color w:val="231F20"/>
                <w:sz w:val="17"/>
              </w:rPr>
              <w:t>one:</w:t>
            </w:r>
          </w:p>
          <w:p w:rsidR="00963663" w:rsidRDefault="0028394F">
            <w:pPr>
              <w:pStyle w:val="TableParagraph"/>
              <w:spacing w:before="77" w:line="260" w:lineRule="exact"/>
              <w:ind w:left="9"/>
              <w:jc w:val="center"/>
              <w:rPr>
                <w:i/>
                <w:sz w:val="17"/>
              </w:rPr>
            </w:pPr>
            <w:r>
              <w:rPr>
                <w:i/>
                <w:color w:val="231F20"/>
                <w:sz w:val="17"/>
              </w:rPr>
              <w:t xml:space="preserve">p </w:t>
            </w:r>
            <w:r>
              <w:rPr>
                <w:color w:val="231F20"/>
                <w:sz w:val="17"/>
              </w:rPr>
              <w:t xml:space="preserve">– </w:t>
            </w:r>
            <w:r>
              <w:rPr>
                <w:color w:val="231F20"/>
                <w:position w:val="11"/>
                <w:sz w:val="17"/>
                <w:u w:val="single" w:color="231F20"/>
              </w:rPr>
              <w:t>1</w:t>
            </w:r>
            <w:r>
              <w:rPr>
                <w:i/>
                <w:color w:val="231F20"/>
                <w:position w:val="11"/>
                <w:sz w:val="17"/>
                <w:u w:val="single" w:color="231F20"/>
              </w:rPr>
              <w:t>p</w:t>
            </w:r>
            <w:r>
              <w:rPr>
                <w:i/>
                <w:color w:val="231F20"/>
                <w:position w:val="11"/>
                <w:sz w:val="17"/>
              </w:rPr>
              <w:t xml:space="preserve"> </w:t>
            </w:r>
            <w:r>
              <w:rPr>
                <w:color w:val="231F20"/>
                <w:sz w:val="17"/>
              </w:rPr>
              <w:t xml:space="preserve">= </w:t>
            </w:r>
            <w:r>
              <w:rPr>
                <w:color w:val="231F20"/>
                <w:position w:val="11"/>
                <w:sz w:val="17"/>
                <w:u w:val="single" w:color="231F20"/>
              </w:rPr>
              <w:t xml:space="preserve"> 1</w:t>
            </w:r>
            <w:r>
              <w:rPr>
                <w:color w:val="231F20"/>
                <w:position w:val="11"/>
                <w:sz w:val="17"/>
              </w:rPr>
              <w:t xml:space="preserve"> </w:t>
            </w:r>
            <w:r>
              <w:rPr>
                <w:i/>
                <w:color w:val="231F20"/>
                <w:sz w:val="17"/>
              </w:rPr>
              <w:t>p</w:t>
            </w:r>
          </w:p>
          <w:p w:rsidR="00963663" w:rsidRDefault="0028394F">
            <w:pPr>
              <w:pStyle w:val="TableParagraph"/>
              <w:tabs>
                <w:tab w:val="left" w:pos="692"/>
              </w:tabs>
              <w:spacing w:line="150" w:lineRule="exact"/>
              <w:ind w:left="219"/>
              <w:jc w:val="center"/>
              <w:rPr>
                <w:sz w:val="17"/>
              </w:rPr>
            </w:pPr>
            <w:r>
              <w:rPr>
                <w:color w:val="231F20"/>
                <w:sz w:val="17"/>
              </w:rPr>
              <w:t>2</w:t>
            </w:r>
            <w:r>
              <w:rPr>
                <w:color w:val="231F20"/>
                <w:sz w:val="17"/>
              </w:rPr>
              <w:tab/>
              <w:t>2</w:t>
            </w:r>
          </w:p>
        </w:tc>
      </w:tr>
      <w:tr w:rsidR="00963663">
        <w:trPr>
          <w:trHeight w:val="3066"/>
        </w:trPr>
        <w:tc>
          <w:tcPr>
            <w:tcW w:w="4505" w:type="dxa"/>
          </w:tcPr>
          <w:p w:rsidR="00963663" w:rsidRDefault="00963663">
            <w:pPr>
              <w:pStyle w:val="TableParagraph"/>
              <w:rPr>
                <w:rFonts w:ascii="Industria-Solid"/>
                <w:sz w:val="20"/>
              </w:rPr>
            </w:pPr>
          </w:p>
          <w:p w:rsidR="00963663" w:rsidRDefault="00963663">
            <w:pPr>
              <w:pStyle w:val="TableParagraph"/>
              <w:rPr>
                <w:rFonts w:ascii="Industria-Solid"/>
                <w:sz w:val="20"/>
              </w:rPr>
            </w:pPr>
          </w:p>
          <w:p w:rsidR="00963663" w:rsidRDefault="00963663">
            <w:pPr>
              <w:pStyle w:val="TableParagraph"/>
              <w:rPr>
                <w:rFonts w:ascii="Industria-Solid"/>
                <w:sz w:val="20"/>
              </w:rPr>
            </w:pPr>
          </w:p>
          <w:p w:rsidR="00963663" w:rsidRDefault="00963663">
            <w:pPr>
              <w:pStyle w:val="TableParagraph"/>
              <w:spacing w:before="9"/>
              <w:rPr>
                <w:rFonts w:ascii="Industria-Solid"/>
                <w:sz w:val="21"/>
              </w:rPr>
            </w:pPr>
          </w:p>
          <w:p w:rsidR="00963663" w:rsidRDefault="0028394F">
            <w:pPr>
              <w:pStyle w:val="TableParagraph"/>
              <w:spacing w:line="254" w:lineRule="auto"/>
              <w:ind w:left="200" w:right="389"/>
              <w:rPr>
                <w:sz w:val="17"/>
              </w:rPr>
            </w:pPr>
            <w:r>
              <w:rPr>
                <w:b/>
                <w:color w:val="231F20"/>
                <w:sz w:val="17"/>
              </w:rPr>
              <w:t xml:space="preserve">B.  </w:t>
            </w:r>
            <w:r>
              <w:rPr>
                <w:color w:val="231F20"/>
                <w:sz w:val="17"/>
              </w:rPr>
              <w:t xml:space="preserve">Pairs of students are charged with making different kinds of quadrilaterals and then asked to examine </w:t>
            </w:r>
            <w:proofErr w:type="gramStart"/>
            <w:r>
              <w:rPr>
                <w:color w:val="231F20"/>
                <w:sz w:val="17"/>
              </w:rPr>
              <w:t>and  “</w:t>
            </w:r>
            <w:proofErr w:type="gramEnd"/>
            <w:r>
              <w:rPr>
                <w:color w:val="231F20"/>
                <w:sz w:val="17"/>
              </w:rPr>
              <w:t>guarantee” their properties. Some students use rulers, protractors, and sheets of paper. Others choose to use dynamic geometry programs, such as Geo</w:t>
            </w:r>
            <w:r>
              <w:rPr>
                <w:color w:val="231F20"/>
                <w:sz w:val="17"/>
              </w:rPr>
              <w:t>meter’s Sketchpad or</w:t>
            </w:r>
            <w:r>
              <w:rPr>
                <w:color w:val="231F20"/>
                <w:spacing w:val="43"/>
                <w:sz w:val="17"/>
              </w:rPr>
              <w:t xml:space="preserve"> </w:t>
            </w:r>
            <w:proofErr w:type="spellStart"/>
            <w:r>
              <w:rPr>
                <w:color w:val="231F20"/>
                <w:sz w:val="17"/>
              </w:rPr>
              <w:t>GeoGebra</w:t>
            </w:r>
            <w:proofErr w:type="spellEnd"/>
            <w:r>
              <w:rPr>
                <w:color w:val="231F20"/>
                <w:sz w:val="17"/>
              </w:rPr>
              <w:t>.</w:t>
            </w:r>
          </w:p>
        </w:tc>
        <w:tc>
          <w:tcPr>
            <w:tcW w:w="4505" w:type="dxa"/>
          </w:tcPr>
          <w:p w:rsidR="00963663" w:rsidRDefault="00963663">
            <w:pPr>
              <w:pStyle w:val="TableParagraph"/>
              <w:rPr>
                <w:rFonts w:ascii="Industria-Solid"/>
                <w:sz w:val="20"/>
              </w:rPr>
            </w:pPr>
          </w:p>
          <w:p w:rsidR="00963663" w:rsidRDefault="0028394F">
            <w:pPr>
              <w:pStyle w:val="TableParagraph"/>
              <w:spacing w:before="140" w:line="254" w:lineRule="auto"/>
              <w:ind w:left="200" w:right="793"/>
              <w:rPr>
                <w:sz w:val="17"/>
              </w:rPr>
            </w:pPr>
            <w:r>
              <w:rPr>
                <w:b/>
                <w:color w:val="231F20"/>
                <w:spacing w:val="-5"/>
                <w:sz w:val="17"/>
              </w:rPr>
              <w:t xml:space="preserve">F.  </w:t>
            </w:r>
            <w:r>
              <w:rPr>
                <w:color w:val="231F20"/>
                <w:sz w:val="17"/>
              </w:rPr>
              <w:t xml:space="preserve">Lin and Ben are writing a solution that explains the difference between the freezing points of ocean water </w:t>
            </w:r>
            <w:r>
              <w:rPr>
                <w:color w:val="231F20"/>
                <w:spacing w:val="-4"/>
                <w:sz w:val="17"/>
              </w:rPr>
              <w:t xml:space="preserve">(-2.5°C) </w:t>
            </w:r>
            <w:r>
              <w:rPr>
                <w:color w:val="231F20"/>
                <w:sz w:val="17"/>
              </w:rPr>
              <w:t xml:space="preserve">and of antifreeze </w:t>
            </w:r>
            <w:r>
              <w:rPr>
                <w:color w:val="231F20"/>
                <w:spacing w:val="-3"/>
                <w:sz w:val="17"/>
              </w:rPr>
              <w:t xml:space="preserve">(-64°C). </w:t>
            </w:r>
            <w:r>
              <w:rPr>
                <w:color w:val="231F20"/>
                <w:sz w:val="17"/>
              </w:rPr>
              <w:t>Lin says,</w:t>
            </w:r>
            <w:r>
              <w:rPr>
                <w:color w:val="231F20"/>
                <w:spacing w:val="20"/>
                <w:sz w:val="17"/>
              </w:rPr>
              <w:t xml:space="preserve"> </w:t>
            </w:r>
            <w:r>
              <w:rPr>
                <w:color w:val="231F20"/>
                <w:sz w:val="17"/>
              </w:rPr>
              <w:t>“It’s</w:t>
            </w:r>
          </w:p>
          <w:p w:rsidR="00963663" w:rsidRDefault="0028394F">
            <w:pPr>
              <w:pStyle w:val="TableParagraph"/>
              <w:spacing w:before="4"/>
              <w:ind w:left="200"/>
              <w:rPr>
                <w:sz w:val="17"/>
              </w:rPr>
            </w:pPr>
            <w:proofErr w:type="gramStart"/>
            <w:r>
              <w:rPr>
                <w:color w:val="231F20"/>
                <w:sz w:val="17"/>
              </w:rPr>
              <w:t>changing</w:t>
            </w:r>
            <w:proofErr w:type="gramEnd"/>
            <w:r>
              <w:rPr>
                <w:color w:val="231F20"/>
                <w:sz w:val="17"/>
              </w:rPr>
              <w:t xml:space="preserve"> -61.5 degrees.” Ben says, “It drops</w:t>
            </w:r>
          </w:p>
          <w:p w:rsidR="00963663" w:rsidRDefault="0028394F">
            <w:pPr>
              <w:pStyle w:val="TableParagraph"/>
              <w:spacing w:before="13" w:line="254" w:lineRule="auto"/>
              <w:ind w:left="200" w:right="375"/>
              <w:rPr>
                <w:sz w:val="17"/>
              </w:rPr>
            </w:pPr>
            <w:r>
              <w:rPr>
                <w:color w:val="231F20"/>
                <w:sz w:val="17"/>
              </w:rPr>
              <w:t>61.5 degrees.” Lin pauses and writes, “The difference between the temperatures that ocean water and antifreeze turn to a solid is</w:t>
            </w:r>
          </w:p>
          <w:p w:rsidR="00963663" w:rsidRDefault="0028394F">
            <w:pPr>
              <w:pStyle w:val="TableParagraph"/>
              <w:spacing w:before="3" w:line="254" w:lineRule="auto"/>
              <w:ind w:left="200" w:right="205"/>
              <w:rPr>
                <w:sz w:val="17"/>
              </w:rPr>
            </w:pPr>
            <w:r>
              <w:rPr>
                <w:color w:val="231F20"/>
                <w:sz w:val="17"/>
              </w:rPr>
              <w:t>-2.5 – (-64) = 61.5. So the temperature must drop another 61.5°C after ocean water freezes for the antifreeze to turn to ice.”</w:t>
            </w:r>
          </w:p>
        </w:tc>
      </w:tr>
      <w:tr w:rsidR="00963663">
        <w:trPr>
          <w:trHeight w:val="3066"/>
        </w:trPr>
        <w:tc>
          <w:tcPr>
            <w:tcW w:w="4505" w:type="dxa"/>
          </w:tcPr>
          <w:p w:rsidR="00963663" w:rsidRDefault="00963663">
            <w:pPr>
              <w:pStyle w:val="TableParagraph"/>
              <w:rPr>
                <w:rFonts w:ascii="Industria-Solid"/>
                <w:sz w:val="20"/>
              </w:rPr>
            </w:pPr>
          </w:p>
          <w:p w:rsidR="00963663" w:rsidRDefault="00963663">
            <w:pPr>
              <w:pStyle w:val="TableParagraph"/>
              <w:rPr>
                <w:rFonts w:ascii="Industria-Solid"/>
                <w:sz w:val="20"/>
              </w:rPr>
            </w:pPr>
          </w:p>
          <w:p w:rsidR="00963663" w:rsidRDefault="00963663">
            <w:pPr>
              <w:pStyle w:val="TableParagraph"/>
              <w:rPr>
                <w:rFonts w:ascii="Industria-Solid"/>
                <w:sz w:val="20"/>
              </w:rPr>
            </w:pPr>
          </w:p>
          <w:p w:rsidR="00963663" w:rsidRDefault="00963663">
            <w:pPr>
              <w:pStyle w:val="TableParagraph"/>
              <w:rPr>
                <w:rFonts w:ascii="Industria-Solid"/>
                <w:sz w:val="20"/>
              </w:rPr>
            </w:pPr>
          </w:p>
          <w:p w:rsidR="00963663" w:rsidRDefault="0028394F">
            <w:pPr>
              <w:pStyle w:val="TableParagraph"/>
              <w:spacing w:before="128" w:line="254" w:lineRule="auto"/>
              <w:ind w:left="200" w:right="327"/>
              <w:rPr>
                <w:sz w:val="17"/>
              </w:rPr>
            </w:pPr>
            <w:r>
              <w:rPr>
                <w:b/>
                <w:color w:val="231F20"/>
                <w:spacing w:val="1"/>
                <w:sz w:val="17"/>
              </w:rPr>
              <w:t xml:space="preserve">C.  </w:t>
            </w:r>
            <w:r>
              <w:rPr>
                <w:color w:val="231F20"/>
                <w:sz w:val="17"/>
              </w:rPr>
              <w:t xml:space="preserve">In solving for </w:t>
            </w:r>
            <w:r>
              <w:rPr>
                <w:i/>
                <w:color w:val="231F20"/>
                <w:spacing w:val="-3"/>
                <w:sz w:val="17"/>
              </w:rPr>
              <w:t>n</w:t>
            </w:r>
            <w:r>
              <w:rPr>
                <w:color w:val="231F20"/>
                <w:spacing w:val="-3"/>
                <w:sz w:val="17"/>
              </w:rPr>
              <w:t xml:space="preserve">, </w:t>
            </w:r>
            <w:r>
              <w:rPr>
                <w:color w:val="231F20"/>
                <w:sz w:val="17"/>
              </w:rPr>
              <w:t xml:space="preserve">Amanda notices that in the equation </w:t>
            </w:r>
            <w:r>
              <w:rPr>
                <w:color w:val="231F20"/>
                <w:spacing w:val="-3"/>
                <w:sz w:val="17"/>
              </w:rPr>
              <w:t>6(</w:t>
            </w:r>
            <w:r>
              <w:rPr>
                <w:i/>
                <w:color w:val="231F20"/>
                <w:spacing w:val="-3"/>
                <w:sz w:val="17"/>
              </w:rPr>
              <w:t xml:space="preserve">n </w:t>
            </w:r>
            <w:r>
              <w:rPr>
                <w:color w:val="231F20"/>
                <w:sz w:val="17"/>
              </w:rPr>
              <w:t xml:space="preserve">+ </w:t>
            </w:r>
            <w:r>
              <w:rPr>
                <w:color w:val="231F20"/>
                <w:spacing w:val="-7"/>
                <w:sz w:val="17"/>
              </w:rPr>
              <w:t xml:space="preserve">1) </w:t>
            </w:r>
            <w:r>
              <w:rPr>
                <w:color w:val="231F20"/>
                <w:sz w:val="17"/>
              </w:rPr>
              <w:t xml:space="preserve">– </w:t>
            </w:r>
            <w:r>
              <w:rPr>
                <w:color w:val="231F20"/>
                <w:spacing w:val="-3"/>
                <w:sz w:val="17"/>
              </w:rPr>
              <w:t>4(</w:t>
            </w:r>
            <w:r>
              <w:rPr>
                <w:i/>
                <w:color w:val="231F20"/>
                <w:spacing w:val="-3"/>
                <w:sz w:val="17"/>
              </w:rPr>
              <w:t xml:space="preserve">n </w:t>
            </w:r>
            <w:r>
              <w:rPr>
                <w:i/>
                <w:color w:val="231F20"/>
                <w:sz w:val="17"/>
              </w:rPr>
              <w:t xml:space="preserve">+ </w:t>
            </w:r>
            <w:r>
              <w:rPr>
                <w:color w:val="231F20"/>
                <w:spacing w:val="-7"/>
                <w:sz w:val="17"/>
              </w:rPr>
              <w:t xml:space="preserve">1) </w:t>
            </w:r>
            <w:r>
              <w:rPr>
                <w:color w:val="231F20"/>
                <w:sz w:val="17"/>
              </w:rPr>
              <w:t xml:space="preserve">= </w:t>
            </w:r>
            <w:r>
              <w:rPr>
                <w:color w:val="231F20"/>
                <w:spacing w:val="-4"/>
                <w:sz w:val="17"/>
              </w:rPr>
              <w:t xml:space="preserve">-30, </w:t>
            </w:r>
            <w:r>
              <w:rPr>
                <w:color w:val="231F20"/>
                <w:sz w:val="17"/>
              </w:rPr>
              <w:t xml:space="preserve">the expressions inside the parenthesis match, so she can subtract the groups and get </w:t>
            </w:r>
            <w:r>
              <w:rPr>
                <w:color w:val="231F20"/>
                <w:spacing w:val="-4"/>
                <w:sz w:val="17"/>
              </w:rPr>
              <w:t>2(</w:t>
            </w:r>
            <w:r>
              <w:rPr>
                <w:i/>
                <w:color w:val="231F20"/>
                <w:spacing w:val="-4"/>
                <w:sz w:val="17"/>
              </w:rPr>
              <w:t xml:space="preserve">n </w:t>
            </w:r>
            <w:r>
              <w:rPr>
                <w:color w:val="231F20"/>
                <w:sz w:val="17"/>
              </w:rPr>
              <w:t xml:space="preserve">+ </w:t>
            </w:r>
            <w:r>
              <w:rPr>
                <w:color w:val="231F20"/>
                <w:spacing w:val="-7"/>
                <w:sz w:val="17"/>
              </w:rPr>
              <w:t xml:space="preserve">1) </w:t>
            </w:r>
            <w:r>
              <w:rPr>
                <w:color w:val="231F20"/>
                <w:sz w:val="17"/>
              </w:rPr>
              <w:t xml:space="preserve">rather than apply the distributive </w:t>
            </w:r>
            <w:r>
              <w:rPr>
                <w:color w:val="231F20"/>
                <w:spacing w:val="1"/>
                <w:sz w:val="17"/>
              </w:rPr>
              <w:t xml:space="preserve">property </w:t>
            </w:r>
            <w:r>
              <w:rPr>
                <w:color w:val="231F20"/>
                <w:sz w:val="17"/>
              </w:rPr>
              <w:t>as a first step.</w:t>
            </w:r>
          </w:p>
        </w:tc>
        <w:tc>
          <w:tcPr>
            <w:tcW w:w="4505" w:type="dxa"/>
          </w:tcPr>
          <w:p w:rsidR="00963663" w:rsidRDefault="00963663">
            <w:pPr>
              <w:pStyle w:val="TableParagraph"/>
              <w:spacing w:before="5"/>
              <w:rPr>
                <w:rFonts w:ascii="Industria-Solid"/>
                <w:sz w:val="29"/>
              </w:rPr>
            </w:pPr>
          </w:p>
          <w:p w:rsidR="00963663" w:rsidRDefault="0028394F">
            <w:pPr>
              <w:pStyle w:val="TableParagraph"/>
              <w:spacing w:before="1" w:line="254" w:lineRule="auto"/>
              <w:ind w:left="200" w:right="205"/>
              <w:rPr>
                <w:sz w:val="17"/>
              </w:rPr>
            </w:pPr>
            <w:r>
              <w:rPr>
                <w:b/>
                <w:color w:val="231F20"/>
                <w:sz w:val="17"/>
              </w:rPr>
              <w:t xml:space="preserve">G. </w:t>
            </w:r>
            <w:r>
              <w:rPr>
                <w:color w:val="231F20"/>
                <w:sz w:val="17"/>
              </w:rPr>
              <w:t>Jeremy has solved 6(</w:t>
            </w:r>
            <w:r>
              <w:rPr>
                <w:i/>
                <w:color w:val="231F20"/>
                <w:sz w:val="17"/>
              </w:rPr>
              <w:t xml:space="preserve">n </w:t>
            </w:r>
            <w:r>
              <w:rPr>
                <w:color w:val="231F20"/>
                <w:sz w:val="17"/>
              </w:rPr>
              <w:t>+ 1) – 4(</w:t>
            </w:r>
            <w:r>
              <w:rPr>
                <w:i/>
                <w:color w:val="231F20"/>
                <w:sz w:val="17"/>
              </w:rPr>
              <w:t xml:space="preserve">n + </w:t>
            </w:r>
            <w:r>
              <w:rPr>
                <w:color w:val="231F20"/>
                <w:sz w:val="17"/>
              </w:rPr>
              <w:t>1) and two others:</w:t>
            </w:r>
          </w:p>
          <w:p w:rsidR="00963663" w:rsidRDefault="00963663">
            <w:pPr>
              <w:pStyle w:val="TableParagraph"/>
              <w:spacing w:before="3"/>
              <w:rPr>
                <w:rFonts w:ascii="Industria-Solid"/>
                <w:sz w:val="19"/>
              </w:rPr>
            </w:pPr>
          </w:p>
          <w:p w:rsidR="00963663" w:rsidRDefault="0028394F">
            <w:pPr>
              <w:pStyle w:val="TableParagraph"/>
              <w:spacing w:before="1"/>
              <w:ind w:left="200"/>
              <w:rPr>
                <w:sz w:val="17"/>
              </w:rPr>
            </w:pPr>
            <w:r>
              <w:rPr>
                <w:color w:val="231F20"/>
                <w:sz w:val="17"/>
              </w:rPr>
              <w:t>1.5(2</w:t>
            </w:r>
            <w:r>
              <w:rPr>
                <w:i/>
                <w:color w:val="231F20"/>
                <w:sz w:val="17"/>
              </w:rPr>
              <w:t xml:space="preserve">x </w:t>
            </w:r>
            <w:r>
              <w:rPr>
                <w:color w:val="231F20"/>
                <w:sz w:val="17"/>
              </w:rPr>
              <w:t>+ 1) – (</w:t>
            </w:r>
            <w:r>
              <w:rPr>
                <w:i/>
                <w:color w:val="231F20"/>
                <w:sz w:val="17"/>
              </w:rPr>
              <w:t xml:space="preserve">x </w:t>
            </w:r>
            <w:r>
              <w:rPr>
                <w:color w:val="231F20"/>
                <w:sz w:val="17"/>
              </w:rPr>
              <w:t>+ 1)</w:t>
            </w:r>
          </w:p>
          <w:p w:rsidR="00963663" w:rsidRDefault="00963663">
            <w:pPr>
              <w:pStyle w:val="TableParagraph"/>
              <w:spacing w:before="6"/>
              <w:rPr>
                <w:rFonts w:ascii="Industria-Solid"/>
                <w:sz w:val="20"/>
              </w:rPr>
            </w:pPr>
          </w:p>
          <w:p w:rsidR="00963663" w:rsidRDefault="0028394F">
            <w:pPr>
              <w:pStyle w:val="TableParagraph"/>
              <w:ind w:left="200"/>
              <w:rPr>
                <w:sz w:val="17"/>
              </w:rPr>
            </w:pPr>
            <w:r>
              <w:rPr>
                <w:color w:val="231F20"/>
                <w:sz w:val="17"/>
              </w:rPr>
              <w:t>3(</w:t>
            </w:r>
            <w:r>
              <w:rPr>
                <w:i/>
                <w:color w:val="231F20"/>
                <w:sz w:val="17"/>
              </w:rPr>
              <w:t>x</w:t>
            </w:r>
            <w:r>
              <w:rPr>
                <w:color w:val="231F20"/>
                <w:position w:val="6"/>
                <w:sz w:val="10"/>
              </w:rPr>
              <w:t xml:space="preserve">2 </w:t>
            </w:r>
            <w:r>
              <w:rPr>
                <w:color w:val="231F20"/>
                <w:sz w:val="17"/>
              </w:rPr>
              <w:t xml:space="preserve">+ </w:t>
            </w:r>
            <w:r>
              <w:rPr>
                <w:i/>
                <w:color w:val="231F20"/>
                <w:sz w:val="17"/>
              </w:rPr>
              <w:t xml:space="preserve">x </w:t>
            </w:r>
            <w:r>
              <w:rPr>
                <w:color w:val="231F20"/>
                <w:sz w:val="17"/>
              </w:rPr>
              <w:t>– 1) – (</w:t>
            </w:r>
            <w:r>
              <w:rPr>
                <w:i/>
                <w:color w:val="231F20"/>
                <w:sz w:val="17"/>
              </w:rPr>
              <w:t>x</w:t>
            </w:r>
            <w:r>
              <w:rPr>
                <w:color w:val="231F20"/>
                <w:position w:val="6"/>
                <w:sz w:val="10"/>
              </w:rPr>
              <w:t xml:space="preserve">2 </w:t>
            </w:r>
            <w:r>
              <w:rPr>
                <w:color w:val="231F20"/>
                <w:sz w:val="17"/>
              </w:rPr>
              <w:t xml:space="preserve">+ </w:t>
            </w:r>
            <w:r>
              <w:rPr>
                <w:i/>
                <w:color w:val="231F20"/>
                <w:sz w:val="17"/>
              </w:rPr>
              <w:t xml:space="preserve">x </w:t>
            </w:r>
            <w:r>
              <w:rPr>
                <w:color w:val="231F20"/>
                <w:sz w:val="17"/>
              </w:rPr>
              <w:t>– 1)</w:t>
            </w:r>
          </w:p>
          <w:p w:rsidR="00963663" w:rsidRDefault="00963663">
            <w:pPr>
              <w:pStyle w:val="TableParagraph"/>
              <w:spacing w:before="6"/>
              <w:rPr>
                <w:rFonts w:ascii="Industria-Solid"/>
                <w:sz w:val="20"/>
              </w:rPr>
            </w:pPr>
          </w:p>
          <w:p w:rsidR="00963663" w:rsidRDefault="0028394F">
            <w:pPr>
              <w:pStyle w:val="TableParagraph"/>
              <w:spacing w:line="254" w:lineRule="auto"/>
              <w:ind w:left="200" w:right="327"/>
              <w:rPr>
                <w:sz w:val="17"/>
              </w:rPr>
            </w:pPr>
            <w:r>
              <w:rPr>
                <w:color w:val="231F20"/>
                <w:sz w:val="17"/>
              </w:rPr>
              <w:t>He sees that when the expression inside the parentheses matches, it is often easier to combine the like terms rather than apply the distributive property. He continues to look for this possibility in other problems.</w:t>
            </w:r>
          </w:p>
        </w:tc>
      </w:tr>
    </w:tbl>
    <w:p w:rsidR="00963663" w:rsidRDefault="00963663">
      <w:pPr>
        <w:pStyle w:val="BodyText"/>
        <w:rPr>
          <w:sz w:val="38"/>
        </w:rPr>
      </w:pPr>
    </w:p>
    <w:p w:rsidR="00963663" w:rsidRDefault="0028394F">
      <w:pPr>
        <w:spacing w:before="249" w:line="264" w:lineRule="auto"/>
        <w:ind w:left="100"/>
        <w:rPr>
          <w:sz w:val="12"/>
        </w:rPr>
      </w:pPr>
      <w:r>
        <w:pict>
          <v:shape id="_x0000_s1026" style="position:absolute;left:0;text-align:left;margin-left:531pt;margin-top:-48.8pt;width:14.95pt;height:24pt;z-index:251657728;mso-position-horizontal-relative:page" coordorigin="10620,-976" coordsize="299,480" o:spt="100" adj="0,,0" path="m10693,-596r-15,4l10666,-578r-4,20l10665,-537r10,19l10690,-503r19,6l10728,-499r16,-10l10747,-514r-35,l10701,-516r-9,-8l10684,-535r-5,-13l10678,-560r4,-10l10691,-578r13,-3l10750,-581r-3,-9l10727,-590r-16,-4l10693,-596xm10750,-581r-46,l10716,-578r10,8l10734,-559r4,12l10738,-536r-4,10l10725,-518r-13,4l10747,-514r8,-12l10757,-551r-5,-24l10750,-581xm10795,-681r-36,l10776,-672r15,14l10803,-641r11,16l10827,-608r15,15l10860,-584r21,2l10899,-589r12,-12l10875,-601r-10,-2l10856,-610r-8,-11l10843,-634r-1,-9l10826,-643r-6,-7l10813,-659r-6,-8l10801,-675r-6,-6xm10620,-836r1,42l10650,-762r45,48l10706,-697r3,19l10709,-662r,5l10712,-637r4,12l10720,-614r4,12l10727,-590r20,l10734,-622r-3,-19l10731,-663r9,-16l10759,-681r36,l10794,-682r-8,-7l10778,-696r-8,-6l10760,-709r-12,-6l10738,-736r,-11l10736,-762r-38,l10682,-778r-45,-43l10620,-836xm10897,-669r-29,l10879,-666r10,7l10897,-648r4,13l10902,-634r-1,9l10901,-622r-5,10l10885,-603r-10,2l10911,-601r,l10919,-617r,-18l10905,-662r-8,-7xm10854,-686r-22,19l10828,-659r,2l10826,-643r16,l10842,-647r4,-10l10856,-666r12,-3l10897,-669r-16,-13l10854,-686xm10666,-976r2,18l10671,-940r3,18l10677,-904r19,123l10698,-772r1,9l10699,-763r,l10698,-762r38,l10732,-799r-5,-41l10720,-881r-11,-39l10702,-937r-9,-16l10681,-967r-15,-9xm10699,-763r,l10699,-763r,xe" fillcolor="#939598" stroked="f">
            <v:stroke joinstyle="round"/>
            <v:formulas/>
            <v:path arrowok="t" o:connecttype="segments"/>
            <w10:wrap anchorx="page"/>
          </v:shape>
        </w:pict>
      </w:r>
      <w:r>
        <w:rPr>
          <w:color w:val="231F20"/>
          <w:sz w:val="12"/>
        </w:rPr>
        <w:t xml:space="preserve">Retrieved from the companion website for </w:t>
      </w:r>
      <w:r>
        <w:rPr>
          <w:i/>
          <w:color w:val="231F20"/>
          <w:sz w:val="12"/>
        </w:rPr>
        <w:t xml:space="preserve">Everything You Need for Mathematics Coaching: Tools, Plans, and A Process That Works: Grades K–12 </w:t>
      </w:r>
      <w:r>
        <w:rPr>
          <w:color w:val="231F20"/>
          <w:sz w:val="12"/>
        </w:rPr>
        <w:t xml:space="preserve">by Maggie B. </w:t>
      </w:r>
      <w:proofErr w:type="spellStart"/>
      <w:r>
        <w:rPr>
          <w:color w:val="231F20"/>
          <w:sz w:val="12"/>
        </w:rPr>
        <w:t>McGatha</w:t>
      </w:r>
      <w:proofErr w:type="spellEnd"/>
      <w:r>
        <w:rPr>
          <w:color w:val="231F20"/>
          <w:sz w:val="12"/>
        </w:rPr>
        <w:t xml:space="preserve"> and Jennifer M. Bay-Williams with Beth McCord </w:t>
      </w:r>
      <w:proofErr w:type="spellStart"/>
      <w:r>
        <w:rPr>
          <w:color w:val="231F20"/>
          <w:sz w:val="12"/>
        </w:rPr>
        <w:t>Kobett</w:t>
      </w:r>
      <w:proofErr w:type="spellEnd"/>
      <w:r>
        <w:rPr>
          <w:color w:val="231F20"/>
          <w:sz w:val="12"/>
        </w:rPr>
        <w:t xml:space="preserve"> and Jonathan A. Wray. Thousand Oaks, CA: Co</w:t>
      </w:r>
      <w:r>
        <w:rPr>
          <w:color w:val="231F20"/>
          <w:sz w:val="12"/>
        </w:rPr>
        <w:t>rwi</w:t>
      </w:r>
      <w:hyperlink r:id="rId5">
        <w:r>
          <w:rPr>
            <w:color w:val="231F20"/>
            <w:sz w:val="12"/>
          </w:rPr>
          <w:t xml:space="preserve">n, www.corwin.com. </w:t>
        </w:r>
      </w:hyperlink>
      <w:proofErr w:type="gramStart"/>
      <w:r>
        <w:rPr>
          <w:color w:val="231F20"/>
          <w:sz w:val="12"/>
        </w:rPr>
        <w:t>Copyright © 2018 by Corwin.</w:t>
      </w:r>
      <w:proofErr w:type="gramEnd"/>
      <w:r>
        <w:rPr>
          <w:color w:val="231F20"/>
          <w:sz w:val="12"/>
        </w:rPr>
        <w:t xml:space="preserve"> All rights reserved. Reproduction authorized only for the local school site or nonprofit organization that has purchased this book.</w:t>
      </w:r>
    </w:p>
    <w:sectPr w:rsidR="00963663">
      <w:type w:val="continuous"/>
      <w:pgSz w:w="12240" w:h="15840"/>
      <w:pgMar w:top="880" w:right="7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Industria-Solid">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963663"/>
    <w:rsid w:val="0028394F"/>
    <w:rsid w:val="0096366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Industria-Solid" w:eastAsia="Industria-Solid" w:hAnsi="Industria-Solid" w:cs="Industria-Solid"/>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rw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2740</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Jeya Keerthi Santhana Raj</cp:lastModifiedBy>
  <cp:revision>2</cp:revision>
  <dcterms:created xsi:type="dcterms:W3CDTF">2018-04-06T17:31:00Z</dcterms:created>
  <dcterms:modified xsi:type="dcterms:W3CDTF">2018-04-10T16:52:00Z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2018-04-06T00:00:00Z</vt:filetime>
  </property>
  <property fmtid="{D5CDD505-2E9C-101B-9397-08002B2CF9AE}" pid="3" name="Creator">
    <vt:lpwstr>Adobe InDesign CC 2017 (Macintosh)</vt:lpwstr>
  </property>
  <property fmtid="{D5CDD505-2E9C-101B-9397-08002B2CF9AE}" pid="4" name="LastSaved">
    <vt:filetime>2018-04-06T00:00:00Z</vt:filetime>
  </property>
</Properties>
</file>