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097" w14:textId="77777777" w:rsidR="00954DA0" w:rsidRDefault="00D42805" w:rsidP="00D42805">
      <w:pPr>
        <w:spacing w:before="11"/>
        <w:jc w:val="center"/>
        <w:rPr>
          <w:rFonts w:ascii="Caecilia LT Std Roman" w:eastAsia="Caecilia LT Std Roman" w:hAnsi="Caecilia LT Std Roman"/>
          <w:b/>
          <w:bCs/>
          <w:color w:val="231F20"/>
          <w:spacing w:val="-6"/>
          <w:sz w:val="32"/>
          <w:szCs w:val="32"/>
        </w:rPr>
      </w:pPr>
      <w:r w:rsidRPr="00D42805">
        <w:rPr>
          <w:rFonts w:ascii="Caecilia LT Std Roman" w:eastAsia="Caecilia LT Std Roman" w:hAnsi="Caecilia LT Std Roman"/>
          <w:b/>
          <w:bCs/>
          <w:color w:val="231F20"/>
          <w:spacing w:val="-6"/>
          <w:sz w:val="32"/>
          <w:szCs w:val="32"/>
        </w:rPr>
        <w:t>SUBTRACTION STRATEGY OBSERVATION TOOL</w:t>
      </w:r>
    </w:p>
    <w:p w14:paraId="5FD44C63" w14:textId="77777777" w:rsidR="00D42805" w:rsidRDefault="00D42805">
      <w:pPr>
        <w:spacing w:before="11"/>
        <w:rPr>
          <w:rFonts w:ascii="Caecilia LT Std Roman" w:eastAsia="Caecilia LT Std Roman" w:hAnsi="Caecilia LT Std Roman" w:cs="Caecilia LT Std Roman"/>
          <w:b/>
          <w:bCs/>
          <w:sz w:val="29"/>
          <w:szCs w:val="29"/>
        </w:rPr>
      </w:pPr>
    </w:p>
    <w:tbl>
      <w:tblPr>
        <w:tblW w:w="1084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561"/>
        <w:gridCol w:w="1701"/>
        <w:gridCol w:w="1986"/>
        <w:gridCol w:w="1418"/>
        <w:gridCol w:w="1984"/>
      </w:tblGrid>
      <w:tr w:rsidR="00D42805" w14:paraId="79571016" w14:textId="77777777" w:rsidTr="00D42805">
        <w:trPr>
          <w:trHeight w:hRule="exact" w:val="631"/>
        </w:trPr>
        <w:tc>
          <w:tcPr>
            <w:tcW w:w="2195" w:type="dxa"/>
            <w:vMerge w:val="restart"/>
            <w:tcBorders>
              <w:top w:val="single" w:sz="24" w:space="0" w:color="BCBEC0"/>
              <w:left w:val="single" w:sz="24" w:space="0" w:color="BCBEC0"/>
              <w:right w:val="single" w:sz="24" w:space="0" w:color="BCBEC0"/>
            </w:tcBorders>
            <w:shd w:val="clear" w:color="auto" w:fill="E6E7E8"/>
          </w:tcPr>
          <w:p w14:paraId="6E836042" w14:textId="77777777" w:rsidR="00D42805" w:rsidRDefault="00D42805" w:rsidP="00D75980">
            <w:pPr>
              <w:pStyle w:val="TableParagraph"/>
              <w:spacing w:before="80"/>
              <w:jc w:val="center"/>
              <w:rPr>
                <w:rFonts w:ascii="Facit"/>
                <w:b/>
                <w:color w:val="231F20"/>
                <w:spacing w:val="-11"/>
                <w:sz w:val="26"/>
              </w:rPr>
            </w:pPr>
            <w:r>
              <w:rPr>
                <w:rFonts w:ascii="Facit"/>
                <w:b/>
                <w:color w:val="231F20"/>
                <w:spacing w:val="-11"/>
                <w:sz w:val="26"/>
              </w:rPr>
              <w:t>Names</w:t>
            </w:r>
          </w:p>
          <w:p w14:paraId="4110AC34" w14:textId="77777777" w:rsidR="00D42805" w:rsidRDefault="00181C35" w:rsidP="00D75980">
            <w:pPr>
              <w:pStyle w:val="TableParagraph"/>
              <w:spacing w:before="80"/>
              <w:ind w:left="57"/>
              <w:rPr>
                <w:rFonts w:ascii="Facit"/>
                <w:b/>
                <w:color w:val="231F20"/>
                <w:spacing w:val="-11"/>
                <w:sz w:val="26"/>
              </w:rPr>
            </w:pPr>
            <w:r>
              <w:rPr>
                <w:rFonts w:ascii="Facit"/>
                <w:b/>
                <w:noProof/>
                <w:color w:val="231F20"/>
                <w:spacing w:val="-11"/>
                <w:sz w:val="26"/>
                <w:lang w:val="en-IN" w:eastAsia="en-IN"/>
              </w:rPr>
              <w:pict w14:anchorId="37AB13D8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left:0;text-align:left;margin-left:47.25pt;margin-top:3.45pt;width:10.3pt;height:25.95pt;z-index:251667456" fillcolor="black [3213]">
                  <v:textbox style="layout-flow:vertical-ideographic"/>
                </v:shape>
              </w:pict>
            </w:r>
          </w:p>
          <w:p w14:paraId="39250DDA" w14:textId="77777777" w:rsidR="00D42805" w:rsidRDefault="00D42805" w:rsidP="00D75980">
            <w:pPr>
              <w:pStyle w:val="TableParagraph"/>
              <w:spacing w:before="80"/>
              <w:ind w:left="57"/>
              <w:rPr>
                <w:rFonts w:ascii="Facit" w:eastAsia="Facit" w:hAnsi="Facit" w:cs="Facit"/>
                <w:sz w:val="26"/>
                <w:szCs w:val="26"/>
              </w:rPr>
            </w:pPr>
          </w:p>
        </w:tc>
        <w:tc>
          <w:tcPr>
            <w:tcW w:w="6666" w:type="dxa"/>
            <w:gridSpan w:val="4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6D6E71"/>
          </w:tcPr>
          <w:p w14:paraId="5D912981" w14:textId="77777777" w:rsidR="00D42805" w:rsidRDefault="00D42805" w:rsidP="00D75980">
            <w:pPr>
              <w:pStyle w:val="TableParagraph"/>
              <w:spacing w:before="80"/>
              <w:ind w:left="57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 w:rsidRPr="00D42805">
              <w:rPr>
                <w:rFonts w:ascii="Facit"/>
                <w:b/>
                <w:color w:val="FFFFFF"/>
                <w:spacing w:val="13"/>
                <w:sz w:val="26"/>
              </w:rPr>
              <w:t>SUBTRACTION REASONING STRATEGIES</w:t>
            </w:r>
          </w:p>
        </w:tc>
        <w:tc>
          <w:tcPr>
            <w:tcW w:w="1984" w:type="dxa"/>
            <w:vMerge w:val="restart"/>
            <w:tcBorders>
              <w:top w:val="single" w:sz="24" w:space="0" w:color="BCBEC0"/>
              <w:left w:val="single" w:sz="24" w:space="0" w:color="BCBEC0"/>
              <w:right w:val="single" w:sz="24" w:space="0" w:color="BCBEC0"/>
            </w:tcBorders>
            <w:shd w:val="clear" w:color="auto" w:fill="F2F2F2" w:themeFill="background1" w:themeFillShade="F2"/>
          </w:tcPr>
          <w:p w14:paraId="24F21461" w14:textId="77777777" w:rsidR="00D42805" w:rsidRPr="00D42805" w:rsidRDefault="00D42805" w:rsidP="00D42805">
            <w:pPr>
              <w:pStyle w:val="TableParagraph"/>
              <w:spacing w:line="326" w:lineRule="exact"/>
              <w:ind w:left="150" w:right="57"/>
              <w:jc w:val="center"/>
              <w:rPr>
                <w:rFonts w:ascii="Facit" w:hAnsi="Facit"/>
                <w:b/>
                <w:color w:val="231F20"/>
                <w:sz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Standard</w:t>
            </w:r>
          </w:p>
          <w:p w14:paraId="760490E5" w14:textId="77777777" w:rsidR="00D42805" w:rsidRPr="00D42805" w:rsidRDefault="00D42805" w:rsidP="00D42805">
            <w:pPr>
              <w:pStyle w:val="TableParagraph"/>
              <w:spacing w:line="326" w:lineRule="exact"/>
              <w:ind w:left="150" w:right="57"/>
              <w:jc w:val="center"/>
              <w:rPr>
                <w:rFonts w:ascii="Facit" w:hAnsi="Facit"/>
                <w:b/>
                <w:color w:val="231F20"/>
                <w:sz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Algorithm</w:t>
            </w:r>
            <w:r>
              <w:rPr>
                <w:rFonts w:ascii="Facit" w:hAnsi="Facit"/>
                <w:b/>
                <w:color w:val="231F20"/>
                <w:sz w:val="26"/>
              </w:rPr>
              <w:t xml:space="preserve"> </w:t>
            </w:r>
            <w:r>
              <w:rPr>
                <w:rFonts w:ascii="Facit" w:hAnsi="Facit"/>
                <w:b/>
                <w:color w:val="231F20"/>
                <w:sz w:val="26"/>
              </w:rPr>
              <w:br/>
              <w:t>f</w:t>
            </w:r>
            <w:r w:rsidRPr="00D42805">
              <w:rPr>
                <w:rFonts w:ascii="Facit" w:hAnsi="Facit"/>
                <w:b/>
                <w:color w:val="231F20"/>
                <w:sz w:val="26"/>
              </w:rPr>
              <w:t>or</w:t>
            </w:r>
          </w:p>
          <w:p w14:paraId="2837A238" w14:textId="77777777" w:rsidR="00D42805" w:rsidRPr="00D42805" w:rsidRDefault="00D42805" w:rsidP="00D42805">
            <w:pPr>
              <w:pStyle w:val="TableParagraph"/>
              <w:spacing w:line="326" w:lineRule="exact"/>
              <w:ind w:left="150" w:right="57"/>
              <w:jc w:val="center"/>
              <w:rPr>
                <w:rFonts w:ascii="Facit" w:hAnsi="Facit"/>
                <w:b/>
                <w:color w:val="231F20"/>
                <w:sz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Subtraction</w:t>
            </w:r>
          </w:p>
        </w:tc>
      </w:tr>
      <w:tr w:rsidR="00D42805" w14:paraId="47BE71CB" w14:textId="77777777" w:rsidTr="00246D07">
        <w:trPr>
          <w:trHeight w:hRule="exact" w:val="995"/>
        </w:trPr>
        <w:tc>
          <w:tcPr>
            <w:tcW w:w="2195" w:type="dxa"/>
            <w:vMerge/>
            <w:tcBorders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1C1122B7" w14:textId="77777777" w:rsidR="00D42805" w:rsidRDefault="00D42805"/>
        </w:tc>
        <w:tc>
          <w:tcPr>
            <w:tcW w:w="156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586D90BC" w14:textId="77777777" w:rsidR="00D42805" w:rsidRPr="00D75980" w:rsidRDefault="00D42805" w:rsidP="00D42805">
            <w:pPr>
              <w:pStyle w:val="TableParagraph"/>
              <w:spacing w:before="80"/>
              <w:ind w:left="57" w:right="57"/>
              <w:rPr>
                <w:rFonts w:ascii="Facit" w:eastAsia="Facit" w:hAnsi="Facit" w:cs="Facit"/>
                <w:sz w:val="26"/>
                <w:szCs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Count Back</w:t>
            </w:r>
          </w:p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7E56565B" w14:textId="77777777" w:rsidR="00D42805" w:rsidRPr="00D42805" w:rsidRDefault="00D42805" w:rsidP="00246D07">
            <w:pPr>
              <w:pStyle w:val="TableParagraph"/>
              <w:spacing w:before="80" w:line="300" w:lineRule="exact"/>
              <w:ind w:left="57" w:right="57"/>
              <w:rPr>
                <w:rFonts w:ascii="Facit" w:hAnsi="Facit"/>
                <w:b/>
                <w:color w:val="231F20"/>
                <w:sz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Partial</w:t>
            </w:r>
          </w:p>
          <w:p w14:paraId="513BEDFF" w14:textId="77777777" w:rsidR="00D42805" w:rsidRPr="00D75980" w:rsidRDefault="00D42805" w:rsidP="00246D07">
            <w:pPr>
              <w:pStyle w:val="TableParagraph"/>
              <w:spacing w:before="80" w:line="300" w:lineRule="exact"/>
              <w:ind w:left="57" w:right="57"/>
              <w:rPr>
                <w:rFonts w:ascii="Facit" w:eastAsia="Facit" w:hAnsi="Facit" w:cs="Facit"/>
                <w:sz w:val="26"/>
                <w:szCs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Differences</w:t>
            </w:r>
          </w:p>
        </w:tc>
        <w:tc>
          <w:tcPr>
            <w:tcW w:w="1986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0326431B" w14:textId="77777777" w:rsidR="00D42805" w:rsidRPr="00D75980" w:rsidRDefault="00D42805" w:rsidP="00246D07">
            <w:pPr>
              <w:pStyle w:val="TableParagraph"/>
              <w:spacing w:before="80" w:line="326" w:lineRule="exact"/>
              <w:ind w:left="57" w:right="57"/>
              <w:rPr>
                <w:rFonts w:ascii="Facit" w:eastAsia="Facit" w:hAnsi="Facit" w:cs="Facit"/>
                <w:sz w:val="26"/>
                <w:szCs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Compensation</w:t>
            </w:r>
          </w:p>
        </w:tc>
        <w:tc>
          <w:tcPr>
            <w:tcW w:w="141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E6E7E8"/>
          </w:tcPr>
          <w:p w14:paraId="6DE912C3" w14:textId="77777777" w:rsidR="00D42805" w:rsidRPr="00D42805" w:rsidRDefault="00D42805" w:rsidP="00D42805">
            <w:pPr>
              <w:pStyle w:val="TableParagraph"/>
              <w:spacing w:before="109" w:line="300" w:lineRule="exact"/>
              <w:ind w:left="57" w:right="57"/>
              <w:rPr>
                <w:rFonts w:ascii="Facit" w:hAnsi="Facit"/>
                <w:b/>
                <w:color w:val="231F20"/>
                <w:sz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Think</w:t>
            </w:r>
          </w:p>
          <w:p w14:paraId="2181A646" w14:textId="77777777" w:rsidR="00D42805" w:rsidRPr="00D75980" w:rsidRDefault="00D42805" w:rsidP="00D42805">
            <w:pPr>
              <w:pStyle w:val="TableParagraph"/>
              <w:spacing w:before="109" w:line="300" w:lineRule="exact"/>
              <w:ind w:left="57" w:right="57"/>
              <w:rPr>
                <w:rFonts w:ascii="Facit" w:eastAsia="Facit" w:hAnsi="Facit" w:cs="Facit"/>
                <w:sz w:val="26"/>
                <w:szCs w:val="26"/>
              </w:rPr>
            </w:pPr>
            <w:r w:rsidRPr="00D42805">
              <w:rPr>
                <w:rFonts w:ascii="Facit" w:hAnsi="Facit"/>
                <w:b/>
                <w:color w:val="231F20"/>
                <w:sz w:val="26"/>
              </w:rPr>
              <w:t>Addition</w:t>
            </w:r>
          </w:p>
        </w:tc>
        <w:tc>
          <w:tcPr>
            <w:tcW w:w="1984" w:type="dxa"/>
            <w:vMerge/>
            <w:tcBorders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F2F2F2" w:themeFill="background1" w:themeFillShade="F2"/>
          </w:tcPr>
          <w:p w14:paraId="05D49756" w14:textId="77777777" w:rsidR="00D42805" w:rsidRPr="00D75980" w:rsidRDefault="00D42805" w:rsidP="00D42805">
            <w:pPr>
              <w:pStyle w:val="TableParagraph"/>
              <w:spacing w:before="109" w:line="300" w:lineRule="exact"/>
              <w:ind w:left="147" w:right="5079"/>
              <w:rPr>
                <w:rFonts w:ascii="Facit" w:hAnsi="Facit"/>
                <w:b/>
                <w:color w:val="231F20"/>
                <w:sz w:val="26"/>
              </w:rPr>
            </w:pPr>
          </w:p>
        </w:tc>
      </w:tr>
      <w:tr w:rsidR="00D42805" w14:paraId="2DF8A529" w14:textId="77777777" w:rsidTr="00D42805">
        <w:trPr>
          <w:trHeight w:hRule="exact" w:val="3034"/>
        </w:trPr>
        <w:tc>
          <w:tcPr>
            <w:tcW w:w="219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70205162" w14:textId="77777777" w:rsidR="00D42805" w:rsidRDefault="00D42805"/>
        </w:tc>
        <w:tc>
          <w:tcPr>
            <w:tcW w:w="156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22DF183C" w14:textId="77777777" w:rsidR="00D42805" w:rsidRDefault="00D42805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63B1848B" w14:textId="77777777" w:rsidR="00D42805" w:rsidRDefault="00D42805"/>
        </w:tc>
        <w:tc>
          <w:tcPr>
            <w:tcW w:w="1986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2C36C507" w14:textId="77777777" w:rsidR="00D42805" w:rsidRDefault="00D42805"/>
        </w:tc>
        <w:tc>
          <w:tcPr>
            <w:tcW w:w="141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C317309" w14:textId="77777777" w:rsidR="00D42805" w:rsidRDefault="00D42805"/>
        </w:tc>
        <w:tc>
          <w:tcPr>
            <w:tcW w:w="1984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201703C7" w14:textId="77777777" w:rsidR="00D42805" w:rsidRDefault="00D42805"/>
        </w:tc>
      </w:tr>
      <w:tr w:rsidR="00D42805" w14:paraId="1E117BF5" w14:textId="77777777" w:rsidTr="00D42805">
        <w:trPr>
          <w:trHeight w:hRule="exact" w:val="3034"/>
        </w:trPr>
        <w:tc>
          <w:tcPr>
            <w:tcW w:w="219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36E4F4C1" w14:textId="77777777" w:rsidR="00D42805" w:rsidRDefault="00D42805"/>
        </w:tc>
        <w:tc>
          <w:tcPr>
            <w:tcW w:w="156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88E684F" w14:textId="77777777" w:rsidR="00D42805" w:rsidRDefault="00D42805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5A444A28" w14:textId="77777777" w:rsidR="00D42805" w:rsidRDefault="00D42805"/>
        </w:tc>
        <w:tc>
          <w:tcPr>
            <w:tcW w:w="1986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8DDC7DC" w14:textId="77777777" w:rsidR="00D42805" w:rsidRDefault="00D42805"/>
        </w:tc>
        <w:tc>
          <w:tcPr>
            <w:tcW w:w="141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3F4908E8" w14:textId="77777777" w:rsidR="00D42805" w:rsidRDefault="00D42805"/>
        </w:tc>
        <w:tc>
          <w:tcPr>
            <w:tcW w:w="1984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6FE778C8" w14:textId="77777777" w:rsidR="00D42805" w:rsidRDefault="00D42805"/>
        </w:tc>
      </w:tr>
      <w:tr w:rsidR="00D42805" w14:paraId="18FF7DE9" w14:textId="77777777" w:rsidTr="00D42805">
        <w:trPr>
          <w:trHeight w:hRule="exact" w:val="3034"/>
        </w:trPr>
        <w:tc>
          <w:tcPr>
            <w:tcW w:w="219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1FCD1DAE" w14:textId="77777777" w:rsidR="00D42805" w:rsidRDefault="00D42805"/>
        </w:tc>
        <w:tc>
          <w:tcPr>
            <w:tcW w:w="156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1AF84E1E" w14:textId="77777777" w:rsidR="00D42805" w:rsidRDefault="00D42805"/>
        </w:tc>
        <w:tc>
          <w:tcPr>
            <w:tcW w:w="1701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2D98753" w14:textId="77777777" w:rsidR="00D42805" w:rsidRDefault="00D42805"/>
        </w:tc>
        <w:tc>
          <w:tcPr>
            <w:tcW w:w="1986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2E295E5C" w14:textId="77777777" w:rsidR="00D42805" w:rsidRDefault="00D42805"/>
        </w:tc>
        <w:tc>
          <w:tcPr>
            <w:tcW w:w="141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0415B5C9" w14:textId="77777777" w:rsidR="00D42805" w:rsidRDefault="00D42805"/>
        </w:tc>
        <w:tc>
          <w:tcPr>
            <w:tcW w:w="1984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14:paraId="4FEB82A3" w14:textId="77777777" w:rsidR="00D42805" w:rsidRDefault="00D42805"/>
        </w:tc>
      </w:tr>
    </w:tbl>
    <w:p w14:paraId="1C8E0D31" w14:textId="77777777" w:rsidR="00954DA0" w:rsidRDefault="00954DA0">
      <w:pPr>
        <w:spacing w:before="10"/>
        <w:rPr>
          <w:rFonts w:ascii="Caecilia LT Std Roman" w:eastAsia="Caecilia LT Std Roman" w:hAnsi="Caecilia LT Std Roman" w:cs="Caecilia LT Std Roman"/>
          <w:b/>
          <w:bCs/>
          <w:sz w:val="15"/>
          <w:szCs w:val="15"/>
        </w:rPr>
      </w:pPr>
    </w:p>
    <w:p w14:paraId="109CD776" w14:textId="77777777" w:rsidR="00954DA0" w:rsidRDefault="00EA6F87">
      <w:pPr>
        <w:spacing w:before="45"/>
        <w:ind w:left="100"/>
        <w:rPr>
          <w:rFonts w:ascii="Facit" w:eastAsia="Facit" w:hAnsi="Facit" w:cs="Facit"/>
          <w:sz w:val="24"/>
          <w:szCs w:val="24"/>
        </w:rPr>
      </w:pPr>
      <w:r>
        <w:rPr>
          <w:rFonts w:ascii="Facit"/>
          <w:b/>
          <w:color w:val="231F20"/>
          <w:spacing w:val="-2"/>
          <w:sz w:val="24"/>
        </w:rPr>
        <w:t>Comments:</w:t>
      </w:r>
    </w:p>
    <w:p w14:paraId="6C02885B" w14:textId="77777777" w:rsidR="00954DA0" w:rsidRDefault="00954DA0">
      <w:pPr>
        <w:rPr>
          <w:rFonts w:ascii="Facit" w:eastAsia="Facit" w:hAnsi="Facit" w:cs="Facit"/>
          <w:b/>
          <w:bCs/>
          <w:sz w:val="20"/>
          <w:szCs w:val="20"/>
        </w:rPr>
      </w:pPr>
    </w:p>
    <w:p w14:paraId="3835F7A1" w14:textId="77777777" w:rsidR="00954DA0" w:rsidRDefault="00954DA0">
      <w:pPr>
        <w:rPr>
          <w:rFonts w:ascii="Facit" w:eastAsia="Facit" w:hAnsi="Facit" w:cs="Facit"/>
          <w:b/>
          <w:bCs/>
          <w:sz w:val="20"/>
          <w:szCs w:val="20"/>
        </w:rPr>
      </w:pPr>
    </w:p>
    <w:sectPr w:rsidR="00954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67BB" w14:textId="77777777" w:rsidR="00C058CF" w:rsidRDefault="00C058CF" w:rsidP="00C058CF">
      <w:r>
        <w:separator/>
      </w:r>
    </w:p>
  </w:endnote>
  <w:endnote w:type="continuationSeparator" w:id="0">
    <w:p w14:paraId="49EE4D52" w14:textId="77777777" w:rsidR="00C058CF" w:rsidRDefault="00C058CF" w:rsidP="00C0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acit">
    <w:altName w:val="Calibri"/>
    <w:panose1 w:val="000000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A600" w14:textId="77777777" w:rsidR="00181C35" w:rsidRDefault="00181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35AD" w14:textId="777D610B" w:rsidR="00C058CF" w:rsidRPr="00C058CF" w:rsidRDefault="00C058CF" w:rsidP="00C058CF">
    <w:pPr>
      <w:spacing w:before="75" w:line="250" w:lineRule="auto"/>
      <w:ind w:left="100" w:right="112"/>
      <w:jc w:val="both"/>
      <w:rPr>
        <w:rFonts w:ascii="Caecilia LT Std Roman" w:eastAsia="Caecilia LT Std Roman" w:hAnsi="Caecilia LT Std Roman" w:cs="Caecilia LT Std Roman"/>
        <w:sz w:val="16"/>
        <w:szCs w:val="16"/>
      </w:rPr>
    </w:pP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Retrieved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from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the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companion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website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for</w:t>
    </w:r>
    <w:r>
      <w:rPr>
        <w:rFonts w:ascii="Caecilia LT Std Roman" w:eastAsia="Caecilia LT Std Roman" w:hAnsi="Caecilia LT Std Roman" w:cs="Caecilia LT Std Roman"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Figuring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Out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Fluency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in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Mathematics</w:t>
    </w:r>
    <w:r>
      <w:rPr>
        <w:rFonts w:ascii="Caecilia LT Std Roman" w:eastAsia="Caecilia LT Std Roman" w:hAnsi="Caecilia LT Std Roman" w:cs="Caecilia LT Std Roman"/>
        <w:i/>
        <w:color w:val="231F20"/>
        <w:spacing w:val="-19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2"/>
        <w:sz w:val="16"/>
        <w:szCs w:val="16"/>
      </w:rPr>
      <w:t>Teaching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Learning: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Moving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Beyond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Basic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2"/>
        <w:sz w:val="16"/>
        <w:szCs w:val="16"/>
      </w:rPr>
      <w:t>Facts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i/>
        <w:color w:val="231F20"/>
        <w:spacing w:val="-1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Memorization,</w:t>
    </w:r>
    <w:r>
      <w:rPr>
        <w:rFonts w:ascii="Caecilia LT Std Roman" w:eastAsia="Caecilia LT Std Roman" w:hAnsi="Caecilia LT Std Roman" w:cs="Caecilia LT Std Roman"/>
        <w:i/>
        <w:color w:val="231F20"/>
        <w:spacing w:val="37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pacing w:val="-1"/>
        <w:sz w:val="16"/>
        <w:szCs w:val="16"/>
      </w:rPr>
      <w:t>Grades</w:t>
    </w:r>
    <w:r>
      <w:rPr>
        <w:rFonts w:ascii="Caecilia LT Std Roman" w:eastAsia="Caecilia LT Std Roman" w:hAnsi="Caecilia LT Std Roman" w:cs="Caecilia LT Std Roman"/>
        <w:i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i/>
        <w:color w:val="231F20"/>
        <w:sz w:val="16"/>
        <w:szCs w:val="16"/>
      </w:rPr>
      <w:t>K–8</w:t>
    </w:r>
    <w:r>
      <w:rPr>
        <w:rFonts w:ascii="Caecilia LT Std Roman" w:eastAsia="Caecilia LT Std Roman" w:hAnsi="Caecilia LT Std Roman" w:cs="Caecilia LT Std Roman"/>
        <w:i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Jennifer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M.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Bay-Williams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and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John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J.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SanGiovanni.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Thousand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Oaks,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CA: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Corwin,</w:t>
    </w:r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hyperlink r:id="rId1">
      <w:r>
        <w:rPr>
          <w:rFonts w:ascii="Caecilia LT Std Roman" w:eastAsia="Caecilia LT Std Roman" w:hAnsi="Caecilia LT Std Roman" w:cs="Caecilia LT Std Roman"/>
          <w:color w:val="231F20"/>
          <w:spacing w:val="-1"/>
          <w:sz w:val="16"/>
          <w:szCs w:val="16"/>
        </w:rPr>
        <w:t>www.corwin.com.</w:t>
      </w:r>
    </w:hyperlink>
    <w:r>
      <w:rPr>
        <w:rFonts w:ascii="Caecilia LT Std Roman" w:eastAsia="Caecilia LT Std Roman" w:hAnsi="Caecilia LT Std Roman" w:cs="Caecilia LT Std Roman"/>
        <w:color w:val="231F20"/>
        <w:spacing w:val="1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Copyright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©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 w:rsidR="00246D07"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2021</w:t>
    </w:r>
    <w:r>
      <w:rPr>
        <w:rFonts w:ascii="Caecilia LT Std Roman" w:eastAsia="Caecilia LT Std Roman" w:hAnsi="Caecilia LT Std Roman" w:cs="Caecilia LT Std Roman"/>
        <w:color w:val="231F20"/>
        <w:spacing w:val="1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pacing w:val="5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Corwin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Press,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Inc.</w:t>
    </w:r>
    <w:r>
      <w:rPr>
        <w:rFonts w:ascii="Caecilia LT Std Roman" w:eastAsia="Caecilia LT Std Roman" w:hAnsi="Caecilia LT Std Roman" w:cs="Caecilia LT Std Roman"/>
        <w:color w:val="231F20"/>
        <w:spacing w:val="-12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All rights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reserved.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Reproduction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authorized for educational use </w:t>
    </w:r>
    <w:r>
      <w:rPr>
        <w:rFonts w:ascii="Caecilia LT Std Roman" w:eastAsia="Caecilia LT Std Roman" w:hAnsi="Caecilia LT Std Roman" w:cs="Caecilia LT Std Roman"/>
        <w:color w:val="231F20"/>
        <w:spacing w:val="-3"/>
        <w:sz w:val="16"/>
        <w:szCs w:val="16"/>
      </w:rPr>
      <w:t>by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educators,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local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school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sites,</w:t>
    </w:r>
    <w:r>
      <w:rPr>
        <w:rFonts w:ascii="Caecilia LT Std Roman" w:eastAsia="Caecilia LT Std Roman" w:hAnsi="Caecilia LT Std Roman" w:cs="Caecilia LT Std Roman"/>
        <w:color w:val="231F20"/>
        <w:spacing w:val="-6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and/or 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>noncommercial</w:t>
    </w:r>
    <w:r>
      <w:rPr>
        <w:rFonts w:ascii="Caecilia LT Std Roman" w:eastAsia="Caecilia LT Std Roman" w:hAnsi="Caecilia LT Std Roman" w:cs="Caecilia LT Std Roman"/>
        <w:color w:val="231F20"/>
        <w:spacing w:val="63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or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nonpr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ofit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entities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that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pacing w:val="-2"/>
        <w:sz w:val="16"/>
        <w:szCs w:val="16"/>
      </w:rPr>
      <w:t>have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purchased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the</w:t>
    </w:r>
    <w:r>
      <w:rPr>
        <w:rFonts w:ascii="Caecilia LT Std Roman" w:eastAsia="Caecilia LT Std Roman" w:hAnsi="Caecilia LT Std Roman" w:cs="Caecilia LT Std Roman"/>
        <w:color w:val="231F20"/>
        <w:spacing w:val="-1"/>
        <w:sz w:val="16"/>
        <w:szCs w:val="16"/>
      </w:rPr>
      <w:t xml:space="preserve"> </w:t>
    </w:r>
    <w:r>
      <w:rPr>
        <w:rFonts w:ascii="Caecilia LT Std Roman" w:eastAsia="Caecilia LT Std Roman" w:hAnsi="Caecilia LT Std Roman" w:cs="Caecilia LT Std Roman"/>
        <w:color w:val="231F20"/>
        <w:sz w:val="16"/>
        <w:szCs w:val="16"/>
      </w:rPr>
      <w:t>book.</w:t>
    </w:r>
    <w:r w:rsidR="00181C35">
      <w:rPr>
        <w:rFonts w:ascii="Caecilia LT Std Roman" w:eastAsia="Caecilia LT Std Roman" w:hAnsi="Caecilia LT Std Roman" w:cs="Caecilia LT Std Roman"/>
        <w:color w:val="231F20"/>
        <w:sz w:val="16"/>
        <w:szCs w:val="16"/>
      </w:rPr>
      <w:t xml:space="preserve"> Please see PDF in case the formatting of this file changes.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4D45" w14:textId="77777777" w:rsidR="00181C35" w:rsidRDefault="0018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1F38" w14:textId="77777777" w:rsidR="00C058CF" w:rsidRDefault="00C058CF" w:rsidP="00C058CF">
      <w:r>
        <w:separator/>
      </w:r>
    </w:p>
  </w:footnote>
  <w:footnote w:type="continuationSeparator" w:id="0">
    <w:p w14:paraId="71A75400" w14:textId="77777777" w:rsidR="00C058CF" w:rsidRDefault="00C058CF" w:rsidP="00C0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3FE4" w14:textId="77777777" w:rsidR="00181C35" w:rsidRDefault="00181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5256" w14:textId="77777777" w:rsidR="00181C35" w:rsidRDefault="00181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CF0C" w14:textId="77777777" w:rsidR="00181C35" w:rsidRDefault="00181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s7Q0tjC2MDMyMrVQ0lEKTi0uzszPAykwrAUA6ue4rywAAAA="/>
  </w:docVars>
  <w:rsids>
    <w:rsidRoot w:val="00954DA0"/>
    <w:rsid w:val="00181C35"/>
    <w:rsid w:val="00246D07"/>
    <w:rsid w:val="003D3186"/>
    <w:rsid w:val="008D3381"/>
    <w:rsid w:val="00954DA0"/>
    <w:rsid w:val="00B02EEC"/>
    <w:rsid w:val="00C058CF"/>
    <w:rsid w:val="00C26A1D"/>
    <w:rsid w:val="00D42805"/>
    <w:rsid w:val="00D75980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FC20A9B"/>
  <w15:docId w15:val="{A9EF2B73-A280-4F14-AF35-EDDE617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686" w:hanging="1201"/>
    </w:pPr>
    <w:rPr>
      <w:rFonts w:ascii="Caecilia LT Std Roman" w:eastAsia="Caecilia LT Std Roman" w:hAnsi="Caecilia LT Std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CF"/>
  </w:style>
  <w:style w:type="paragraph" w:styleId="Footer">
    <w:name w:val="footer"/>
    <w:basedOn w:val="Normal"/>
    <w:link w:val="FooterChar"/>
    <w:uiPriority w:val="99"/>
    <w:unhideWhenUsed/>
    <w:rsid w:val="00C05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183</Characters>
  <Application>Microsoft Office Word</Application>
  <DocSecurity>0</DocSecurity>
  <Lines>1</Lines>
  <Paragraphs>1</Paragraphs>
  <ScaleCrop>false</ScaleCrop>
  <Company>Integra Software services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Danita Mapes</cp:lastModifiedBy>
  <cp:revision>11</cp:revision>
  <dcterms:created xsi:type="dcterms:W3CDTF">2020-12-14T20:29:00Z</dcterms:created>
  <dcterms:modified xsi:type="dcterms:W3CDTF">2023-03-23T18:32:00Z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