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8E0" w:rsidRDefault="008118E0">
      <w:pPr>
        <w:pStyle w:val="BodyText"/>
        <w:rPr>
          <w:rFonts w:ascii="Times New Roman"/>
          <w:sz w:val="20"/>
        </w:rPr>
      </w:pPr>
      <w:r w:rsidRPr="008118E0">
        <w:pict>
          <v:group id="_x0000_s1029" style="position:absolute;margin-left:0;margin-top:0;width:612pt;height:85.2pt;z-index:1072;mso-position-horizontal-relative:page;mso-position-vertical-relative:page" coordsize="12240,1704">
            <v:rect id="_x0000_s1032" style="position:absolute;width:12240;height:1620" fillcolor="#d1d3d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0;top:1575;width:12200;height:128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width:12240;height:1704" filled="f" stroked="f">
              <v:textbox inset="0,0,0,0">
                <w:txbxContent>
                  <w:p w:rsidR="008118E0" w:rsidRDefault="008118E0">
                    <w:pPr>
                      <w:rPr>
                        <w:sz w:val="36"/>
                      </w:rPr>
                    </w:pPr>
                  </w:p>
                  <w:p w:rsidR="008118E0" w:rsidRDefault="00E45BE6">
                    <w:pPr>
                      <w:spacing w:before="252" w:line="230" w:lineRule="auto"/>
                      <w:ind w:left="720" w:right="1057"/>
                      <w:rPr>
                        <w:rFonts w:ascii="Lucida Sans"/>
                        <w:b/>
                        <w:sz w:val="30"/>
                      </w:rPr>
                    </w:pPr>
                    <w:r>
                      <w:rPr>
                        <w:rFonts w:ascii="Lucida Sans"/>
                        <w:b/>
                        <w:color w:val="231F20"/>
                        <w:sz w:val="30"/>
                      </w:rPr>
                      <w:t xml:space="preserve">SMALL-GROUP LEARNING: </w:t>
                    </w:r>
                    <w:r>
                      <w:rPr>
                        <w:rFonts w:ascii="Lucida Sans"/>
                        <w:b/>
                        <w:color w:val="231F20"/>
                        <w:spacing w:val="-4"/>
                        <w:sz w:val="30"/>
                      </w:rPr>
                      <w:t xml:space="preserve">IMPLEMENTATION </w:t>
                    </w:r>
                    <w:r>
                      <w:rPr>
                        <w:rFonts w:ascii="Lucida Sans"/>
                        <w:b/>
                        <w:color w:val="231F20"/>
                        <w:sz w:val="30"/>
                      </w:rPr>
                      <w:t xml:space="preserve">AND RECORDING </w:t>
                    </w:r>
                    <w:r>
                      <w:rPr>
                        <w:rFonts w:ascii="Lucida Sans"/>
                        <w:b/>
                        <w:color w:val="231F20"/>
                        <w:spacing w:val="-5"/>
                        <w:sz w:val="30"/>
                      </w:rPr>
                      <w:t xml:space="preserve">TOOL </w:t>
                    </w:r>
                    <w:r>
                      <w:rPr>
                        <w:rFonts w:ascii="Lucida Sans"/>
                        <w:b/>
                        <w:color w:val="231F20"/>
                        <w:sz w:val="30"/>
                      </w:rPr>
                      <w:t xml:space="preserve">FOR </w:t>
                    </w:r>
                    <w:r>
                      <w:rPr>
                        <w:rFonts w:ascii="Lucida Sans"/>
                        <w:b/>
                        <w:color w:val="231F20"/>
                        <w:spacing w:val="-4"/>
                        <w:sz w:val="30"/>
                      </w:rPr>
                      <w:t>OBSERVATIONS</w:t>
                    </w:r>
                  </w:p>
                </w:txbxContent>
              </v:textbox>
            </v:shape>
            <w10:wrap anchorx="page" anchory="page"/>
          </v:group>
        </w:pict>
      </w:r>
    </w:p>
    <w:p w:rsidR="008118E0" w:rsidRDefault="008118E0">
      <w:pPr>
        <w:pStyle w:val="BodyText"/>
        <w:rPr>
          <w:rFonts w:ascii="Times New Roman"/>
          <w:sz w:val="20"/>
        </w:rPr>
      </w:pPr>
    </w:p>
    <w:p w:rsidR="008118E0" w:rsidRDefault="008118E0">
      <w:pPr>
        <w:pStyle w:val="BodyText"/>
        <w:rPr>
          <w:rFonts w:ascii="Times New Roman"/>
          <w:sz w:val="20"/>
        </w:rPr>
      </w:pPr>
    </w:p>
    <w:p w:rsidR="008118E0" w:rsidRDefault="008118E0">
      <w:pPr>
        <w:pStyle w:val="BodyText"/>
        <w:rPr>
          <w:rFonts w:ascii="Times New Roman"/>
          <w:sz w:val="20"/>
        </w:rPr>
      </w:pPr>
    </w:p>
    <w:p w:rsidR="008118E0" w:rsidRDefault="008118E0">
      <w:pPr>
        <w:pStyle w:val="BodyText"/>
        <w:rPr>
          <w:rFonts w:ascii="Times New Roman"/>
          <w:sz w:val="20"/>
        </w:rPr>
      </w:pPr>
    </w:p>
    <w:p w:rsidR="008118E0" w:rsidRDefault="008118E0">
      <w:pPr>
        <w:pStyle w:val="BodyText"/>
        <w:rPr>
          <w:rFonts w:ascii="Times New Roman"/>
          <w:sz w:val="20"/>
        </w:rPr>
      </w:pPr>
    </w:p>
    <w:p w:rsidR="008118E0" w:rsidRDefault="008118E0">
      <w:pPr>
        <w:pStyle w:val="BodyText"/>
        <w:rPr>
          <w:rFonts w:ascii="Times New Roman"/>
          <w:sz w:val="20"/>
        </w:rPr>
      </w:pPr>
    </w:p>
    <w:p w:rsidR="008118E0" w:rsidRDefault="008118E0">
      <w:pPr>
        <w:pStyle w:val="BodyText"/>
        <w:spacing w:before="3"/>
        <w:rPr>
          <w:rFonts w:ascii="Times New Roman"/>
          <w:sz w:val="29"/>
        </w:rPr>
      </w:pPr>
    </w:p>
    <w:tbl>
      <w:tblPr>
        <w:tblW w:w="0" w:type="auto"/>
        <w:tblInd w:w="730" w:type="dxa"/>
        <w:tblBorders>
          <w:top w:val="single" w:sz="4" w:space="0" w:color="E87358"/>
          <w:left w:val="single" w:sz="4" w:space="0" w:color="E87358"/>
          <w:bottom w:val="single" w:sz="4" w:space="0" w:color="E87358"/>
          <w:right w:val="single" w:sz="4" w:space="0" w:color="E87358"/>
          <w:insideH w:val="single" w:sz="4" w:space="0" w:color="E87358"/>
          <w:insideV w:val="single" w:sz="4" w:space="0" w:color="E87358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597"/>
        <w:gridCol w:w="3597"/>
        <w:gridCol w:w="3597"/>
      </w:tblGrid>
      <w:tr w:rsidR="008118E0">
        <w:trPr>
          <w:trHeight w:val="366"/>
        </w:trPr>
        <w:tc>
          <w:tcPr>
            <w:tcW w:w="3597" w:type="dxa"/>
            <w:shd w:val="clear" w:color="auto" w:fill="F59D87"/>
          </w:tcPr>
          <w:p w:rsidR="008118E0" w:rsidRDefault="00E45BE6">
            <w:pPr>
              <w:pStyle w:val="TableParagraph"/>
              <w:spacing w:before="82"/>
              <w:ind w:left="120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Intent of the Observation</w:t>
            </w:r>
          </w:p>
        </w:tc>
        <w:tc>
          <w:tcPr>
            <w:tcW w:w="3597" w:type="dxa"/>
            <w:shd w:val="clear" w:color="auto" w:fill="F59D87"/>
          </w:tcPr>
          <w:p w:rsidR="008118E0" w:rsidRDefault="00E45BE6">
            <w:pPr>
              <w:pStyle w:val="TableParagraph"/>
              <w:spacing w:before="82"/>
              <w:ind w:left="601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sz w:val="18"/>
              </w:rPr>
              <w:t>Brief Description/Comments</w:t>
            </w:r>
          </w:p>
        </w:tc>
        <w:tc>
          <w:tcPr>
            <w:tcW w:w="3597" w:type="dxa"/>
            <w:shd w:val="clear" w:color="auto" w:fill="F59D87"/>
          </w:tcPr>
          <w:p w:rsidR="008118E0" w:rsidRDefault="00E45BE6">
            <w:pPr>
              <w:pStyle w:val="TableParagraph"/>
              <w:spacing w:before="82"/>
              <w:ind w:left="1320" w:right="1312"/>
              <w:jc w:val="center"/>
              <w:rPr>
                <w:rFonts w:ascii="Trebuchet MS"/>
                <w:b/>
                <w:sz w:val="18"/>
              </w:rPr>
            </w:pPr>
            <w:r>
              <w:rPr>
                <w:rFonts w:ascii="Trebuchet MS"/>
                <w:b/>
                <w:color w:val="FFFFFF"/>
                <w:w w:val="105"/>
                <w:sz w:val="18"/>
              </w:rPr>
              <w:t>Observed?</w:t>
            </w:r>
          </w:p>
        </w:tc>
      </w:tr>
      <w:tr w:rsidR="008118E0">
        <w:trPr>
          <w:trHeight w:val="2137"/>
        </w:trPr>
        <w:tc>
          <w:tcPr>
            <w:tcW w:w="3597" w:type="dxa"/>
          </w:tcPr>
          <w:p w:rsidR="008118E0" w:rsidRDefault="00E45BE6">
            <w:pPr>
              <w:pStyle w:val="TableParagraph"/>
              <w:spacing w:before="88"/>
              <w:ind w:left="1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Mathematics content</w:t>
            </w:r>
          </w:p>
        </w:tc>
        <w:tc>
          <w:tcPr>
            <w:tcW w:w="3597" w:type="dxa"/>
          </w:tcPr>
          <w:p w:rsidR="008118E0" w:rsidRDefault="008118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7" w:type="dxa"/>
          </w:tcPr>
          <w:p w:rsidR="008118E0" w:rsidRDefault="008118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18E0">
        <w:trPr>
          <w:trHeight w:val="2137"/>
        </w:trPr>
        <w:tc>
          <w:tcPr>
            <w:tcW w:w="3597" w:type="dxa"/>
          </w:tcPr>
          <w:p w:rsidR="008118E0" w:rsidRDefault="00E45BE6">
            <w:pPr>
              <w:pStyle w:val="TableParagraph"/>
              <w:spacing w:before="88"/>
              <w:ind w:left="1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Mathematical practices or processes</w:t>
            </w:r>
          </w:p>
        </w:tc>
        <w:tc>
          <w:tcPr>
            <w:tcW w:w="3597" w:type="dxa"/>
          </w:tcPr>
          <w:p w:rsidR="008118E0" w:rsidRDefault="008118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7" w:type="dxa"/>
          </w:tcPr>
          <w:p w:rsidR="008118E0" w:rsidRDefault="008118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18E0">
        <w:trPr>
          <w:trHeight w:val="2137"/>
        </w:trPr>
        <w:tc>
          <w:tcPr>
            <w:tcW w:w="3597" w:type="dxa"/>
          </w:tcPr>
          <w:p w:rsidR="008118E0" w:rsidRDefault="00E45BE6">
            <w:pPr>
              <w:pStyle w:val="TableParagraph"/>
              <w:spacing w:before="88"/>
              <w:ind w:left="1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Student engagement</w:t>
            </w:r>
          </w:p>
        </w:tc>
        <w:tc>
          <w:tcPr>
            <w:tcW w:w="3597" w:type="dxa"/>
          </w:tcPr>
          <w:p w:rsidR="008118E0" w:rsidRDefault="008118E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7" w:type="dxa"/>
          </w:tcPr>
          <w:p w:rsidR="008118E0" w:rsidRDefault="008118E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118E0">
        <w:trPr>
          <w:trHeight w:val="2137"/>
        </w:trPr>
        <w:tc>
          <w:tcPr>
            <w:tcW w:w="10791" w:type="dxa"/>
            <w:gridSpan w:val="3"/>
          </w:tcPr>
          <w:p w:rsidR="008118E0" w:rsidRDefault="00E45BE6">
            <w:pPr>
              <w:pStyle w:val="TableParagraph"/>
              <w:spacing w:before="88"/>
              <w:ind w:left="1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General comment:</w:t>
            </w:r>
          </w:p>
        </w:tc>
      </w:tr>
      <w:tr w:rsidR="008118E0">
        <w:trPr>
          <w:trHeight w:val="2137"/>
        </w:trPr>
        <w:tc>
          <w:tcPr>
            <w:tcW w:w="10791" w:type="dxa"/>
            <w:gridSpan w:val="3"/>
          </w:tcPr>
          <w:p w:rsidR="008118E0" w:rsidRDefault="00E45BE6">
            <w:pPr>
              <w:pStyle w:val="TableParagraph"/>
              <w:spacing w:before="88"/>
              <w:ind w:left="120"/>
              <w:rPr>
                <w:sz w:val="17"/>
              </w:rPr>
            </w:pPr>
            <w:r>
              <w:rPr>
                <w:color w:val="231F20"/>
                <w:w w:val="105"/>
                <w:sz w:val="17"/>
              </w:rPr>
              <w:t>Feedback to students:</w:t>
            </w:r>
          </w:p>
        </w:tc>
      </w:tr>
    </w:tbl>
    <w:p w:rsidR="008118E0" w:rsidRDefault="008118E0">
      <w:pPr>
        <w:pStyle w:val="BodyText"/>
        <w:spacing w:before="1"/>
        <w:rPr>
          <w:rFonts w:ascii="Times New Roman"/>
          <w:sz w:val="15"/>
        </w:rPr>
      </w:pPr>
    </w:p>
    <w:p w:rsidR="008118E0" w:rsidRDefault="008118E0">
      <w:pPr>
        <w:spacing w:before="98" w:line="235" w:lineRule="auto"/>
        <w:ind w:left="720" w:right="717"/>
        <w:jc w:val="both"/>
        <w:rPr>
          <w:sz w:val="14"/>
        </w:rPr>
      </w:pPr>
      <w:r w:rsidRPr="008118E0">
        <w:pict>
          <v:group id="_x0000_s1026" style="position:absolute;left:0;text-align:left;margin-left:0;margin-top:40.1pt;width:612pt;height:19.55pt;z-index:1024;mso-position-horizontal-relative:page" coordorigin=",802" coordsize="12240,391">
            <v:rect id="_x0000_s1028" style="position:absolute;top:832;width:12240;height:360" fillcolor="#d1d3d4" stroked="f"/>
            <v:shape id="_x0000_s1027" type="#_x0000_t75" style="position:absolute;top:801;width:12240;height:119">
              <v:imagedata r:id="rId5" o:title=""/>
            </v:shape>
            <w10:wrap anchorx="page"/>
          </v:group>
        </w:pict>
      </w:r>
      <w:r w:rsidR="00E45BE6">
        <w:rPr>
          <w:rFonts w:ascii="Lucida Sans" w:hAnsi="Lucida Sans"/>
          <w:i/>
          <w:color w:val="231F20"/>
          <w:sz w:val="14"/>
        </w:rPr>
        <w:t xml:space="preserve">Source: </w:t>
      </w:r>
      <w:r w:rsidR="00E45BE6">
        <w:rPr>
          <w:color w:val="231F20"/>
          <w:sz w:val="14"/>
        </w:rPr>
        <w:t xml:space="preserve">Fennell, </w:t>
      </w:r>
      <w:r w:rsidR="00E45BE6">
        <w:rPr>
          <w:color w:val="231F20"/>
          <w:spacing w:val="-8"/>
          <w:sz w:val="14"/>
        </w:rPr>
        <w:t xml:space="preserve">F., </w:t>
      </w:r>
      <w:proofErr w:type="spellStart"/>
      <w:r w:rsidR="00E45BE6">
        <w:rPr>
          <w:color w:val="231F20"/>
          <w:sz w:val="14"/>
        </w:rPr>
        <w:t>Kobett</w:t>
      </w:r>
      <w:proofErr w:type="spellEnd"/>
      <w:r w:rsidR="00E45BE6">
        <w:rPr>
          <w:color w:val="231F20"/>
          <w:sz w:val="14"/>
        </w:rPr>
        <w:t xml:space="preserve">, B., &amp; </w:t>
      </w:r>
      <w:r w:rsidR="00E45BE6">
        <w:rPr>
          <w:color w:val="231F20"/>
          <w:spacing w:val="-3"/>
          <w:sz w:val="14"/>
        </w:rPr>
        <w:t xml:space="preserve">Wray, </w:t>
      </w:r>
      <w:r w:rsidR="00E45BE6">
        <w:rPr>
          <w:color w:val="231F20"/>
          <w:sz w:val="14"/>
        </w:rPr>
        <w:t xml:space="preserve">J. (2015). Classroom-based formative assessments: Guiding teaching and learning. In C. </w:t>
      </w:r>
      <w:proofErr w:type="spellStart"/>
      <w:r w:rsidR="00E45BE6">
        <w:rPr>
          <w:color w:val="231F20"/>
          <w:sz w:val="14"/>
        </w:rPr>
        <w:t>Suurtamm</w:t>
      </w:r>
      <w:proofErr w:type="spellEnd"/>
      <w:r w:rsidR="00E45BE6">
        <w:rPr>
          <w:color w:val="231F20"/>
          <w:sz w:val="14"/>
        </w:rPr>
        <w:t xml:space="preserve"> (Ed.) &amp; A. R. McDuffie (Series Ed.),</w:t>
      </w:r>
      <w:r w:rsidR="00E45BE6">
        <w:rPr>
          <w:color w:val="231F20"/>
          <w:spacing w:val="-14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Annual</w:t>
      </w:r>
      <w:r w:rsidR="00E45BE6">
        <w:rPr>
          <w:rFonts w:ascii="Lucida Sans" w:hAnsi="Lucida Sans"/>
          <w:i/>
          <w:color w:val="231F20"/>
          <w:spacing w:val="-19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perspectives</w:t>
      </w:r>
      <w:r w:rsidR="00E45BE6">
        <w:rPr>
          <w:rFonts w:ascii="Lucida Sans" w:hAnsi="Lucida Sans"/>
          <w:i/>
          <w:color w:val="231F20"/>
          <w:spacing w:val="-19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in</w:t>
      </w:r>
      <w:r w:rsidR="00E45BE6">
        <w:rPr>
          <w:rFonts w:ascii="Lucida Sans" w:hAnsi="Lucida Sans"/>
          <w:i/>
          <w:color w:val="231F20"/>
          <w:spacing w:val="-19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mathematics</w:t>
      </w:r>
      <w:r w:rsidR="00E45BE6">
        <w:rPr>
          <w:rFonts w:ascii="Lucida Sans" w:hAnsi="Lucida Sans"/>
          <w:i/>
          <w:color w:val="231F20"/>
          <w:spacing w:val="-19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education:</w:t>
      </w:r>
      <w:r w:rsidR="00E45BE6">
        <w:rPr>
          <w:rFonts w:ascii="Lucida Sans" w:hAnsi="Lucida Sans"/>
          <w:i/>
          <w:color w:val="231F20"/>
          <w:spacing w:val="-19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Assessment</w:t>
      </w:r>
      <w:r w:rsidR="00E45BE6">
        <w:rPr>
          <w:rFonts w:ascii="Lucida Sans" w:hAnsi="Lucida Sans"/>
          <w:i/>
          <w:color w:val="231F20"/>
          <w:spacing w:val="-19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to</w:t>
      </w:r>
      <w:r w:rsidR="00E45BE6">
        <w:rPr>
          <w:rFonts w:ascii="Lucida Sans" w:hAnsi="Lucida Sans"/>
          <w:i/>
          <w:color w:val="231F20"/>
          <w:spacing w:val="-19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enhance</w:t>
      </w:r>
      <w:r w:rsidR="00E45BE6">
        <w:rPr>
          <w:rFonts w:ascii="Lucida Sans" w:hAnsi="Lucida Sans"/>
          <w:i/>
          <w:color w:val="231F20"/>
          <w:spacing w:val="-18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teaching</w:t>
      </w:r>
      <w:r w:rsidR="00E45BE6">
        <w:rPr>
          <w:rFonts w:ascii="Lucida Sans" w:hAnsi="Lucida Sans"/>
          <w:i/>
          <w:color w:val="231F20"/>
          <w:spacing w:val="-19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and</w:t>
      </w:r>
      <w:r w:rsidR="00E45BE6">
        <w:rPr>
          <w:rFonts w:ascii="Lucida Sans" w:hAnsi="Lucida Sans"/>
          <w:i/>
          <w:color w:val="231F20"/>
          <w:spacing w:val="-19"/>
          <w:sz w:val="14"/>
        </w:rPr>
        <w:t xml:space="preserve"> </w:t>
      </w:r>
      <w:r w:rsidR="00E45BE6">
        <w:rPr>
          <w:rFonts w:ascii="Lucida Sans" w:hAnsi="Lucida Sans"/>
          <w:i/>
          <w:color w:val="231F20"/>
          <w:sz w:val="14"/>
        </w:rPr>
        <w:t>learning</w:t>
      </w:r>
      <w:r w:rsidR="00E45BE6">
        <w:rPr>
          <w:rFonts w:ascii="Lucida Sans" w:hAnsi="Lucida Sans"/>
          <w:i/>
          <w:color w:val="231F20"/>
          <w:spacing w:val="-20"/>
          <w:sz w:val="14"/>
        </w:rPr>
        <w:t xml:space="preserve"> </w:t>
      </w:r>
      <w:r w:rsidR="00E45BE6">
        <w:rPr>
          <w:color w:val="231F20"/>
          <w:sz w:val="14"/>
        </w:rPr>
        <w:t>(pp.</w:t>
      </w:r>
      <w:r w:rsidR="00E45BE6">
        <w:rPr>
          <w:color w:val="231F20"/>
          <w:spacing w:val="-13"/>
          <w:sz w:val="14"/>
        </w:rPr>
        <w:t xml:space="preserve"> </w:t>
      </w:r>
      <w:r w:rsidR="00E45BE6">
        <w:rPr>
          <w:color w:val="231F20"/>
          <w:sz w:val="14"/>
        </w:rPr>
        <w:t>51–62).</w:t>
      </w:r>
      <w:r w:rsidR="00E45BE6">
        <w:rPr>
          <w:color w:val="231F20"/>
          <w:spacing w:val="-14"/>
          <w:sz w:val="14"/>
        </w:rPr>
        <w:t xml:space="preserve"> </w:t>
      </w:r>
      <w:r w:rsidR="00E45BE6">
        <w:rPr>
          <w:color w:val="231F20"/>
          <w:sz w:val="14"/>
        </w:rPr>
        <w:t>Reston,</w:t>
      </w:r>
      <w:r w:rsidR="00E45BE6">
        <w:rPr>
          <w:color w:val="231F20"/>
          <w:spacing w:val="-14"/>
          <w:sz w:val="14"/>
        </w:rPr>
        <w:t xml:space="preserve"> </w:t>
      </w:r>
      <w:r w:rsidR="00E45BE6">
        <w:rPr>
          <w:color w:val="231F20"/>
          <w:spacing w:val="-3"/>
          <w:sz w:val="14"/>
        </w:rPr>
        <w:t>VA:</w:t>
      </w:r>
      <w:r w:rsidR="00E45BE6">
        <w:rPr>
          <w:color w:val="231F20"/>
          <w:spacing w:val="-14"/>
          <w:sz w:val="14"/>
        </w:rPr>
        <w:t xml:space="preserve"> </w:t>
      </w:r>
      <w:r w:rsidR="00E45BE6">
        <w:rPr>
          <w:color w:val="231F20"/>
          <w:sz w:val="14"/>
        </w:rPr>
        <w:t>National</w:t>
      </w:r>
      <w:r w:rsidR="00E45BE6">
        <w:rPr>
          <w:color w:val="231F20"/>
          <w:spacing w:val="-13"/>
          <w:sz w:val="14"/>
        </w:rPr>
        <w:t xml:space="preserve"> </w:t>
      </w:r>
      <w:r w:rsidR="00E45BE6">
        <w:rPr>
          <w:color w:val="231F20"/>
          <w:sz w:val="14"/>
        </w:rPr>
        <w:t>Council</w:t>
      </w:r>
      <w:r w:rsidR="00E45BE6">
        <w:rPr>
          <w:color w:val="231F20"/>
          <w:spacing w:val="-14"/>
          <w:sz w:val="14"/>
        </w:rPr>
        <w:t xml:space="preserve"> </w:t>
      </w:r>
      <w:r w:rsidR="00E45BE6">
        <w:rPr>
          <w:color w:val="231F20"/>
          <w:sz w:val="14"/>
        </w:rPr>
        <w:t>of</w:t>
      </w:r>
      <w:r w:rsidR="00E45BE6">
        <w:rPr>
          <w:color w:val="231F20"/>
          <w:spacing w:val="-14"/>
          <w:sz w:val="14"/>
        </w:rPr>
        <w:t xml:space="preserve"> </w:t>
      </w:r>
      <w:r w:rsidR="00E45BE6">
        <w:rPr>
          <w:color w:val="231F20"/>
          <w:sz w:val="14"/>
        </w:rPr>
        <w:t>Teachers</w:t>
      </w:r>
      <w:r w:rsidR="00E45BE6">
        <w:rPr>
          <w:color w:val="231F20"/>
          <w:spacing w:val="-13"/>
          <w:sz w:val="14"/>
        </w:rPr>
        <w:t xml:space="preserve"> </w:t>
      </w:r>
      <w:r w:rsidR="00E45BE6">
        <w:rPr>
          <w:color w:val="231F20"/>
          <w:sz w:val="14"/>
        </w:rPr>
        <w:t>of</w:t>
      </w:r>
      <w:r w:rsidR="00E45BE6">
        <w:rPr>
          <w:color w:val="231F20"/>
          <w:spacing w:val="-14"/>
          <w:sz w:val="14"/>
        </w:rPr>
        <w:t xml:space="preserve"> </w:t>
      </w:r>
      <w:r w:rsidR="00E45BE6">
        <w:rPr>
          <w:color w:val="231F20"/>
          <w:sz w:val="14"/>
        </w:rPr>
        <w:t xml:space="preserve">Mathematics. </w:t>
      </w:r>
      <w:proofErr w:type="gramStart"/>
      <w:r w:rsidR="00E45BE6">
        <w:rPr>
          <w:color w:val="231F20"/>
          <w:sz w:val="14"/>
        </w:rPr>
        <w:t>Republished with permission of the National Council of Teachers of</w:t>
      </w:r>
      <w:r w:rsidR="00E45BE6">
        <w:rPr>
          <w:color w:val="231F20"/>
          <w:spacing w:val="3"/>
          <w:sz w:val="14"/>
        </w:rPr>
        <w:t xml:space="preserve"> </w:t>
      </w:r>
      <w:r w:rsidR="00E45BE6">
        <w:rPr>
          <w:color w:val="231F20"/>
          <w:sz w:val="14"/>
        </w:rPr>
        <w:t>Mathematics.</w:t>
      </w:r>
      <w:proofErr w:type="gramEnd"/>
    </w:p>
    <w:p w:rsidR="008118E0" w:rsidRDefault="008118E0">
      <w:pPr>
        <w:pStyle w:val="BodyText"/>
        <w:rPr>
          <w:sz w:val="20"/>
        </w:rPr>
      </w:pPr>
    </w:p>
    <w:p w:rsidR="008118E0" w:rsidRDefault="008118E0">
      <w:pPr>
        <w:pStyle w:val="BodyText"/>
        <w:rPr>
          <w:sz w:val="20"/>
        </w:rPr>
      </w:pPr>
    </w:p>
    <w:p w:rsidR="008118E0" w:rsidRDefault="008118E0">
      <w:pPr>
        <w:pStyle w:val="BodyText"/>
        <w:spacing w:before="9"/>
        <w:rPr>
          <w:sz w:val="24"/>
        </w:rPr>
      </w:pPr>
    </w:p>
    <w:p w:rsidR="008118E0" w:rsidRDefault="00E45BE6">
      <w:pPr>
        <w:pStyle w:val="BodyText"/>
        <w:spacing w:before="95"/>
        <w:ind w:left="720" w:right="714"/>
        <w:jc w:val="both"/>
      </w:pPr>
      <w:r>
        <w:rPr>
          <w:color w:val="231F20"/>
        </w:rPr>
        <w:t xml:space="preserve">Retrieved from the companion website for </w:t>
      </w:r>
      <w:proofErr w:type="gramStart"/>
      <w:r>
        <w:rPr>
          <w:rFonts w:ascii="Lucida Sans" w:hAnsi="Lucida Sans"/>
          <w:i/>
          <w:color w:val="231F20"/>
        </w:rPr>
        <w:t>Teaching</w:t>
      </w:r>
      <w:proofErr w:type="gramEnd"/>
      <w:r>
        <w:rPr>
          <w:rFonts w:ascii="Lucida Sans" w:hAnsi="Lucida Sans"/>
          <w:i/>
          <w:color w:val="231F20"/>
        </w:rPr>
        <w:t xml:space="preserve"> Mathematics in the Visible Learning Classroom, Grades 6–8 </w:t>
      </w:r>
      <w:r>
        <w:rPr>
          <w:color w:val="231F20"/>
        </w:rPr>
        <w:t xml:space="preserve">by John </w:t>
      </w:r>
      <w:proofErr w:type="spellStart"/>
      <w:r>
        <w:rPr>
          <w:color w:val="231F20"/>
        </w:rPr>
        <w:t>Almarode</w:t>
      </w:r>
      <w:proofErr w:type="spellEnd"/>
      <w:r>
        <w:rPr>
          <w:color w:val="231F20"/>
        </w:rPr>
        <w:t xml:space="preserve">, Douglas Fisher, Joseph </w:t>
      </w:r>
      <w:proofErr w:type="spellStart"/>
      <w:r>
        <w:rPr>
          <w:color w:val="231F20"/>
          <w:spacing w:val="2"/>
        </w:rPr>
        <w:t>Assof</w:t>
      </w:r>
      <w:proofErr w:type="spellEnd"/>
      <w:r>
        <w:rPr>
          <w:color w:val="231F20"/>
          <w:spacing w:val="2"/>
        </w:rPr>
        <w:t xml:space="preserve">, </w:t>
      </w:r>
      <w:r>
        <w:rPr>
          <w:color w:val="231F20"/>
        </w:rPr>
        <w:t xml:space="preserve">Sara Delano Moore, John Hattie, and Nancy Frey. Thousand Oaks, CA: Corwin. Reproduction authorized only for the local school site or </w:t>
      </w:r>
      <w:proofErr w:type="spellStart"/>
      <w:r>
        <w:rPr>
          <w:color w:val="231F20"/>
        </w:rPr>
        <w:t>nonprofit</w:t>
      </w:r>
      <w:proofErr w:type="spellEnd"/>
      <w:r>
        <w:rPr>
          <w:color w:val="231F20"/>
        </w:rPr>
        <w:t xml:space="preserve"> organization that</w:t>
      </w:r>
      <w:r>
        <w:rPr>
          <w:color w:val="231F20"/>
        </w:rPr>
        <w:t xml:space="preserve"> has purchased this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book.</w:t>
      </w:r>
    </w:p>
    <w:sectPr w:rsidR="008118E0" w:rsidSect="008118E0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8118E0"/>
    <w:rsid w:val="008118E0"/>
    <w:rsid w:val="00E45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18E0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18E0"/>
    <w:rPr>
      <w:sz w:val="14"/>
      <w:szCs w:val="14"/>
    </w:rPr>
  </w:style>
  <w:style w:type="paragraph" w:styleId="ListParagraph">
    <w:name w:val="List Paragraph"/>
    <w:basedOn w:val="Normal"/>
    <w:uiPriority w:val="1"/>
    <w:qFormat/>
    <w:rsid w:val="008118E0"/>
  </w:style>
  <w:style w:type="paragraph" w:customStyle="1" w:styleId="TableParagraph">
    <w:name w:val="Table Paragraph"/>
    <w:basedOn w:val="Normal"/>
    <w:uiPriority w:val="1"/>
    <w:qFormat/>
    <w:rsid w:val="008118E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Pandiyalakshmi</cp:lastModifiedBy>
  <cp:revision>2</cp:revision>
  <dcterms:created xsi:type="dcterms:W3CDTF">2019-05-13T06:52:00Z</dcterms:created>
  <dcterms:modified xsi:type="dcterms:W3CDTF">2019-05-13T11:30:00Z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2019-05-11T00:00:00Z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2019-05-13T00:00:00Z</vt:filetime>
  </property>
</Properties>
</file>