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88" w:rsidRDefault="00C41C9C">
      <w:pPr>
        <w:pStyle w:val="Heading1"/>
        <w:ind w:right="4316"/>
        <w:jc w:val="center"/>
        <w:rPr>
          <w:b w:val="0"/>
          <w:bCs w:val="0"/>
        </w:rPr>
      </w:pPr>
      <w:r>
        <w:rPr>
          <w:color w:val="231F20"/>
          <w:spacing w:val="8"/>
        </w:rPr>
        <w:t>FILL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9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2"/>
        </w:rPr>
        <w:t>CHART</w:t>
      </w:r>
    </w:p>
    <w:p w:rsidR="00506188" w:rsidRDefault="00506188">
      <w:pPr>
        <w:spacing w:before="11"/>
        <w:rPr>
          <w:rFonts w:ascii="Facit" w:eastAsia="Facit" w:hAnsi="Facit" w:cs="Facit"/>
          <w:b/>
          <w:bCs/>
          <w:sz w:val="25"/>
          <w:szCs w:val="25"/>
        </w:rPr>
      </w:pPr>
    </w:p>
    <w:p w:rsidR="00506188" w:rsidRDefault="00C41C9C">
      <w:pPr>
        <w:pStyle w:val="BodyText"/>
      </w:pPr>
      <w:r>
        <w:rPr>
          <w:color w:val="231F20"/>
          <w:spacing w:val="1"/>
        </w:rPr>
        <w:t>Directions:</w:t>
      </w:r>
      <w:r>
        <w:rPr>
          <w:color w:val="231F20"/>
          <w:spacing w:val="-7"/>
        </w:rPr>
        <w:t xml:space="preserve"> </w:t>
      </w:r>
      <w:r w:rsidR="0038197E" w:rsidRPr="0038197E">
        <w:rPr>
          <w:color w:val="231F20"/>
        </w:rPr>
        <w:t>Players take turns. On your turn, roll</w:t>
      </w:r>
      <w:r w:rsidR="0038197E">
        <w:rPr>
          <w:color w:val="231F20"/>
        </w:rPr>
        <w:t xml:space="preserve"> </w:t>
      </w:r>
      <w:r w:rsidR="002F318A" w:rsidRPr="002F318A">
        <w:rPr>
          <w:color w:val="231F20"/>
        </w:rPr>
        <w:t>a 10-sided die (0 means 10).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Multiply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10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9.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Record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product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empty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space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below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digit.</w:t>
      </w:r>
      <w:r w:rsidR="0038197E">
        <w:rPr>
          <w:color w:val="231F20"/>
        </w:rPr>
        <w:t xml:space="preserve"> </w:t>
      </w:r>
      <w:r w:rsidR="0038197E" w:rsidRPr="0038197E">
        <w:rPr>
          <w:color w:val="231F20"/>
        </w:rPr>
        <w:t>Only record one product per roll.</w:t>
      </w:r>
    </w:p>
    <w:p w:rsidR="00506188" w:rsidRDefault="00506188">
      <w:pPr>
        <w:spacing w:before="8"/>
        <w:rPr>
          <w:rFonts w:ascii="Caecilia LT Std Roman" w:eastAsia="Caecilia LT Std Roman" w:hAnsi="Caecilia LT Std Roman" w:cs="Caecilia LT Std Roman"/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506188">
        <w:trPr>
          <w:trHeight w:hRule="exact" w:val="472"/>
        </w:trPr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3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4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5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6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7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8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9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pacing w:val="-3"/>
                <w:sz w:val="24"/>
              </w:rPr>
              <w:t>10</w:t>
            </w:r>
          </w:p>
        </w:tc>
      </w:tr>
      <w:tr w:rsidR="00506188">
        <w:trPr>
          <w:trHeight w:hRule="exact" w:val="1761"/>
        </w:trPr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49"/>
              <w:ind w:left="59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 w:eastAsia="Facit" w:hAnsi="Facit" w:cs="Facit"/>
                <w:b/>
                <w:bCs/>
                <w:color w:val="231F20"/>
                <w:spacing w:val="-2"/>
                <w:sz w:val="24"/>
                <w:szCs w:val="24"/>
              </w:rPr>
              <w:t>10</w:t>
            </w:r>
            <w:r>
              <w:rPr>
                <w:rFonts w:ascii="Facit" w:eastAsia="Facit" w:hAnsi="Facit" w:cs="Facit"/>
                <w:b/>
                <w:bCs/>
                <w:color w:val="231F20"/>
                <w:sz w:val="24"/>
                <w:szCs w:val="24"/>
              </w:rPr>
              <w:t xml:space="preserve"> × </w:t>
            </w:r>
            <w:r>
              <w:rPr>
                <w:rFonts w:ascii="Facit" w:eastAsia="Facit" w:hAnsi="Facit" w:cs="Facit"/>
                <w:b/>
                <w:bCs/>
                <w:i/>
                <w:color w:val="231F20"/>
                <w:sz w:val="24"/>
                <w:szCs w:val="24"/>
              </w:rPr>
              <w:t>n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</w:tr>
      <w:tr w:rsidR="00506188">
        <w:trPr>
          <w:trHeight w:hRule="exact" w:val="1761"/>
        </w:trPr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49"/>
              <w:ind w:left="59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 w:eastAsia="Facit" w:hAnsi="Facit" w:cs="Facit"/>
                <w:b/>
                <w:bCs/>
                <w:color w:val="231F20"/>
                <w:sz w:val="24"/>
                <w:szCs w:val="24"/>
              </w:rPr>
              <w:t xml:space="preserve">9 × </w:t>
            </w:r>
            <w:r>
              <w:rPr>
                <w:rFonts w:ascii="Facit" w:eastAsia="Facit" w:hAnsi="Facit" w:cs="Facit"/>
                <w:b/>
                <w:bCs/>
                <w:i/>
                <w:color w:val="231F20"/>
                <w:sz w:val="24"/>
                <w:szCs w:val="24"/>
              </w:rPr>
              <w:t>n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</w:tr>
    </w:tbl>
    <w:p w:rsidR="00506188" w:rsidRDefault="00506188">
      <w:pPr>
        <w:rPr>
          <w:rFonts w:ascii="Caecilia LT Std Roman" w:eastAsia="Caecilia LT Std Roman" w:hAnsi="Caecilia LT Std Roman" w:cs="Caecilia LT Std Roman"/>
          <w:sz w:val="20"/>
          <w:szCs w:val="20"/>
        </w:rPr>
      </w:pPr>
    </w:p>
    <w:p w:rsidR="00506188" w:rsidRDefault="00506188">
      <w:pPr>
        <w:spacing w:before="7"/>
        <w:rPr>
          <w:rFonts w:ascii="Caecilia LT Std Roman" w:eastAsia="Caecilia LT Std Roman" w:hAnsi="Caecilia LT Std Roman" w:cs="Caecilia LT Std Roman"/>
          <w:sz w:val="17"/>
          <w:szCs w:val="17"/>
        </w:rPr>
      </w:pPr>
    </w:p>
    <w:p w:rsidR="00506188" w:rsidRDefault="00C41C9C">
      <w:pPr>
        <w:pStyle w:val="Heading1"/>
        <w:spacing w:before="26"/>
        <w:ind w:right="4316"/>
        <w:jc w:val="center"/>
        <w:rPr>
          <w:b w:val="0"/>
          <w:bCs w:val="0"/>
        </w:rPr>
      </w:pPr>
      <w:r>
        <w:rPr>
          <w:color w:val="231F20"/>
          <w:spacing w:val="8"/>
        </w:rPr>
        <w:t>FILL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9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2"/>
        </w:rPr>
        <w:t>CHART</w:t>
      </w:r>
    </w:p>
    <w:p w:rsidR="00506188" w:rsidRDefault="00506188">
      <w:pPr>
        <w:spacing w:before="11"/>
        <w:rPr>
          <w:rFonts w:ascii="Facit" w:eastAsia="Facit" w:hAnsi="Facit" w:cs="Facit"/>
          <w:b/>
          <w:bCs/>
          <w:sz w:val="25"/>
          <w:szCs w:val="25"/>
        </w:rPr>
      </w:pPr>
    </w:p>
    <w:p w:rsidR="00506188" w:rsidRDefault="00C41C9C">
      <w:pPr>
        <w:pStyle w:val="BodyText"/>
      </w:pPr>
      <w:r>
        <w:rPr>
          <w:color w:val="231F20"/>
          <w:spacing w:val="1"/>
        </w:rPr>
        <w:t>Directions:</w:t>
      </w:r>
      <w:r>
        <w:rPr>
          <w:color w:val="231F20"/>
          <w:spacing w:val="-7"/>
        </w:rPr>
        <w:t xml:space="preserve"> </w:t>
      </w:r>
      <w:r w:rsidR="0038197E" w:rsidRPr="0038197E">
        <w:rPr>
          <w:color w:val="231F20"/>
        </w:rPr>
        <w:t>Players take turns. On your turn, roll</w:t>
      </w:r>
      <w:r w:rsidR="0038197E">
        <w:rPr>
          <w:color w:val="231F20"/>
        </w:rPr>
        <w:t xml:space="preserve"> </w:t>
      </w:r>
      <w:r w:rsidR="002F318A" w:rsidRPr="002F318A">
        <w:rPr>
          <w:color w:val="231F20"/>
        </w:rPr>
        <w:t>a 10-sided die (0 means 10).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Multiply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10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9.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Record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product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empty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space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below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digit.</w:t>
      </w:r>
      <w:r w:rsidR="0038197E">
        <w:rPr>
          <w:color w:val="231F20"/>
        </w:rPr>
        <w:t xml:space="preserve"> </w:t>
      </w:r>
      <w:r w:rsidR="0038197E" w:rsidRPr="0038197E">
        <w:rPr>
          <w:color w:val="231F20"/>
        </w:rPr>
        <w:t>Only record one product per roll.</w:t>
      </w:r>
    </w:p>
    <w:p w:rsidR="00506188" w:rsidRDefault="00506188">
      <w:pPr>
        <w:spacing w:before="8"/>
        <w:rPr>
          <w:rFonts w:ascii="Caecilia LT Std Roman" w:eastAsia="Caecilia LT Std Roman" w:hAnsi="Caecilia LT Std Roman" w:cs="Caecilia LT Std Roman"/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506188">
        <w:trPr>
          <w:trHeight w:hRule="exact" w:val="472"/>
        </w:trPr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3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4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5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6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7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8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z w:val="24"/>
              </w:rPr>
              <w:t>9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50"/>
              <w:jc w:val="center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/>
                <w:b/>
                <w:color w:val="231F20"/>
                <w:spacing w:val="-3"/>
                <w:sz w:val="24"/>
              </w:rPr>
              <w:t>10</w:t>
            </w:r>
          </w:p>
        </w:tc>
      </w:tr>
      <w:tr w:rsidR="00506188">
        <w:trPr>
          <w:trHeight w:hRule="exact" w:val="1972"/>
        </w:trPr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49"/>
              <w:ind w:left="59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 w:eastAsia="Facit" w:hAnsi="Facit" w:cs="Facit"/>
                <w:b/>
                <w:bCs/>
                <w:color w:val="231F20"/>
                <w:spacing w:val="-2"/>
                <w:sz w:val="24"/>
                <w:szCs w:val="24"/>
              </w:rPr>
              <w:t>10</w:t>
            </w:r>
            <w:r>
              <w:rPr>
                <w:rFonts w:ascii="Facit" w:eastAsia="Facit" w:hAnsi="Facit" w:cs="Facit"/>
                <w:b/>
                <w:bCs/>
                <w:color w:val="231F20"/>
                <w:sz w:val="24"/>
                <w:szCs w:val="24"/>
              </w:rPr>
              <w:t xml:space="preserve"> × </w:t>
            </w:r>
            <w:r>
              <w:rPr>
                <w:rFonts w:ascii="Facit" w:eastAsia="Facit" w:hAnsi="Facit" w:cs="Facit"/>
                <w:b/>
                <w:bCs/>
                <w:i/>
                <w:color w:val="231F20"/>
                <w:sz w:val="24"/>
                <w:szCs w:val="24"/>
              </w:rPr>
              <w:t>n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</w:tr>
      <w:tr w:rsidR="00506188">
        <w:trPr>
          <w:trHeight w:hRule="exact" w:val="1972"/>
        </w:trPr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  <w:shd w:val="clear" w:color="auto" w:fill="939598"/>
          </w:tcPr>
          <w:p w:rsidR="00506188" w:rsidRDefault="00C41C9C">
            <w:pPr>
              <w:pStyle w:val="TableParagraph"/>
              <w:spacing w:before="49"/>
              <w:ind w:left="59"/>
              <w:rPr>
                <w:rFonts w:ascii="Facit" w:eastAsia="Facit" w:hAnsi="Facit" w:cs="Facit"/>
                <w:sz w:val="24"/>
                <w:szCs w:val="24"/>
              </w:rPr>
            </w:pPr>
            <w:r>
              <w:rPr>
                <w:rFonts w:ascii="Facit" w:eastAsia="Facit" w:hAnsi="Facit" w:cs="Facit"/>
                <w:b/>
                <w:bCs/>
                <w:color w:val="231F20"/>
                <w:sz w:val="24"/>
                <w:szCs w:val="24"/>
              </w:rPr>
              <w:t xml:space="preserve">9 × </w:t>
            </w:r>
            <w:r>
              <w:rPr>
                <w:rFonts w:ascii="Facit" w:eastAsia="Facit" w:hAnsi="Facit" w:cs="Facit"/>
                <w:b/>
                <w:bCs/>
                <w:i/>
                <w:color w:val="231F20"/>
                <w:sz w:val="24"/>
                <w:szCs w:val="24"/>
              </w:rPr>
              <w:t>n</w:t>
            </w:r>
          </w:p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  <w:tc>
          <w:tcPr>
            <w:tcW w:w="976" w:type="dxa"/>
            <w:tcBorders>
              <w:top w:val="single" w:sz="24" w:space="0" w:color="BCBEC0"/>
              <w:left w:val="single" w:sz="24" w:space="0" w:color="BCBEC0"/>
              <w:bottom w:val="single" w:sz="24" w:space="0" w:color="BCBEC0"/>
              <w:right w:val="single" w:sz="24" w:space="0" w:color="BCBEC0"/>
            </w:tcBorders>
          </w:tcPr>
          <w:p w:rsidR="00506188" w:rsidRDefault="00506188"/>
        </w:tc>
      </w:tr>
    </w:tbl>
    <w:p w:rsidR="00506188" w:rsidRDefault="00506188">
      <w:pPr>
        <w:rPr>
          <w:rFonts w:ascii="Caecilia LT Std Roman" w:eastAsia="Caecilia LT Std Roman" w:hAnsi="Caecilia LT Std Roman" w:cs="Caecilia LT Std Roman"/>
          <w:sz w:val="20"/>
          <w:szCs w:val="20"/>
        </w:rPr>
      </w:pPr>
    </w:p>
    <w:p w:rsidR="00506188" w:rsidRDefault="00506188">
      <w:pPr>
        <w:rPr>
          <w:rFonts w:ascii="Caecilia LT Std Roman" w:eastAsia="Caecilia LT Std Roman" w:hAnsi="Caecilia LT Std Roman" w:cs="Caecilia LT Std Roman"/>
          <w:sz w:val="20"/>
          <w:szCs w:val="20"/>
        </w:rPr>
      </w:pPr>
    </w:p>
    <w:p w:rsidR="00506188" w:rsidRDefault="00506188">
      <w:pPr>
        <w:rPr>
          <w:rFonts w:ascii="Caecilia LT Std Roman" w:eastAsia="Caecilia LT Std Roman" w:hAnsi="Caecilia LT Std Roman" w:cs="Caecilia LT Std Roman"/>
          <w:sz w:val="20"/>
          <w:szCs w:val="20"/>
        </w:rPr>
      </w:pPr>
    </w:p>
    <w:p w:rsidR="00506188" w:rsidRDefault="00506188">
      <w:pPr>
        <w:rPr>
          <w:rFonts w:ascii="Caecilia LT Std Roman" w:eastAsia="Caecilia LT Std Roman" w:hAnsi="Caecilia LT Std Roman" w:cs="Caecilia LT Std Roman"/>
          <w:sz w:val="20"/>
          <w:szCs w:val="20"/>
        </w:rPr>
      </w:pPr>
    </w:p>
    <w:p w:rsidR="00506188" w:rsidRDefault="00506188">
      <w:pPr>
        <w:rPr>
          <w:rFonts w:ascii="Caecilia LT Std Roman" w:eastAsia="Caecilia LT Std Roman" w:hAnsi="Caecilia LT Std Roman" w:cs="Caecilia LT Std Roman"/>
          <w:sz w:val="20"/>
          <w:szCs w:val="20"/>
        </w:rPr>
      </w:pPr>
    </w:p>
    <w:p w:rsidR="00506188" w:rsidRDefault="00506188">
      <w:pPr>
        <w:spacing w:before="7"/>
        <w:rPr>
          <w:rFonts w:ascii="Caecilia LT Std Roman" w:eastAsia="Caecilia LT Std Roman" w:hAnsi="Caecilia LT Std Roman" w:cs="Caecilia LT Std Roman"/>
          <w:sz w:val="26"/>
          <w:szCs w:val="26"/>
        </w:rPr>
      </w:pPr>
      <w:bookmarkStart w:id="0" w:name="_GoBack"/>
      <w:bookmarkEnd w:id="0"/>
    </w:p>
    <w:sectPr w:rsidR="00506188">
      <w:footerReference w:type="default" r:id="rId6"/>
      <w:type w:val="continuous"/>
      <w:pgSz w:w="12240" w:h="15840"/>
      <w:pgMar w:top="6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9C" w:rsidRDefault="00C41C9C" w:rsidP="00C41C9C">
      <w:r>
        <w:separator/>
      </w:r>
    </w:p>
  </w:endnote>
  <w:endnote w:type="continuationSeparator" w:id="0">
    <w:p w:rsidR="00C41C9C" w:rsidRDefault="00C41C9C" w:rsidP="00C4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cit">
    <w:altName w:val="Facit"/>
    <w:panose1 w:val="00000500000000000000"/>
    <w:charset w:val="00"/>
    <w:family w:val="modern"/>
    <w:notTrueType/>
    <w:pitch w:val="variable"/>
    <w:sig w:usb0="800000AF" w:usb1="5000607B" w:usb2="00000000" w:usb3="00000000" w:csb0="00000093" w:csb1="00000000"/>
  </w:font>
  <w:font w:name="Caecilia LT Std Roman">
    <w:altName w:val="Caecilia LT Std Roman"/>
    <w:panose1 w:val="000005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9C" w:rsidRPr="00C41C9C" w:rsidRDefault="00C41C9C" w:rsidP="00C41C9C">
    <w:pPr>
      <w:spacing w:before="75" w:line="250" w:lineRule="auto"/>
      <w:ind w:left="100" w:right="112"/>
      <w:jc w:val="both"/>
      <w:rPr>
        <w:rFonts w:ascii="Caecilia LT Std Roman" w:eastAsia="Caecilia LT Std Roman" w:hAnsi="Caecilia LT Std Roman" w:cs="Caecilia LT Std Roman"/>
        <w:sz w:val="16"/>
        <w:szCs w:val="16"/>
      </w:rPr>
    </w:pP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>Retrieved</w:t>
    </w:r>
    <w:r>
      <w:rPr>
        <w:rFonts w:ascii="Caecilia LT Std Roman" w:eastAsia="Caecilia LT Std Roman" w:hAnsi="Caecilia LT Std Roman" w:cs="Caecilia LT Std Roman"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>from</w:t>
    </w:r>
    <w:r>
      <w:rPr>
        <w:rFonts w:ascii="Caecilia LT Std Roman" w:eastAsia="Caecilia LT Std Roman" w:hAnsi="Caecilia LT Std Roman" w:cs="Caecilia LT Std Roman"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>the</w:t>
    </w:r>
    <w:r>
      <w:rPr>
        <w:rFonts w:ascii="Caecilia LT Std Roman" w:eastAsia="Caecilia LT Std Roman" w:hAnsi="Caecilia LT Std Roman" w:cs="Caecilia LT Std Roman"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>companion</w:t>
    </w:r>
    <w:r>
      <w:rPr>
        <w:rFonts w:ascii="Caecilia LT Std Roman" w:eastAsia="Caecilia LT Std Roman" w:hAnsi="Caecilia LT Std Roman" w:cs="Caecilia LT Std Roman"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>website</w:t>
    </w:r>
    <w:r>
      <w:rPr>
        <w:rFonts w:ascii="Caecilia LT Std Roman" w:eastAsia="Caecilia LT Std Roman" w:hAnsi="Caecilia LT Std Roman" w:cs="Caecilia LT Std Roman"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>for</w:t>
    </w:r>
    <w:r>
      <w:rPr>
        <w:rFonts w:ascii="Caecilia LT Std Roman" w:eastAsia="Caecilia LT Std Roman" w:hAnsi="Caecilia LT Std Roman" w:cs="Caecilia LT Std Roman"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i/>
        <w:color w:val="231F20"/>
        <w:spacing w:val="-1"/>
        <w:sz w:val="16"/>
        <w:szCs w:val="16"/>
      </w:rPr>
      <w:t>Figuring</w:t>
    </w:r>
    <w:r>
      <w:rPr>
        <w:rFonts w:ascii="Caecilia LT Std Roman" w:eastAsia="Caecilia LT Std Roman" w:hAnsi="Caecilia LT Std Roman" w:cs="Caecilia LT Std Roman"/>
        <w:i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i/>
        <w:color w:val="231F20"/>
        <w:sz w:val="16"/>
        <w:szCs w:val="16"/>
      </w:rPr>
      <w:t>Out</w:t>
    </w:r>
    <w:r>
      <w:rPr>
        <w:rFonts w:ascii="Caecilia LT Std Roman" w:eastAsia="Caecilia LT Std Roman" w:hAnsi="Caecilia LT Std Roman" w:cs="Caecilia LT Std Roman"/>
        <w:i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i/>
        <w:color w:val="231F20"/>
        <w:spacing w:val="-1"/>
        <w:sz w:val="16"/>
        <w:szCs w:val="16"/>
      </w:rPr>
      <w:t>Fluency</w:t>
    </w:r>
    <w:r>
      <w:rPr>
        <w:rFonts w:ascii="Caecilia LT Std Roman" w:eastAsia="Caecilia LT Std Roman" w:hAnsi="Caecilia LT Std Roman" w:cs="Caecilia LT Std Roman"/>
        <w:i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i/>
        <w:color w:val="231F20"/>
        <w:sz w:val="16"/>
        <w:szCs w:val="16"/>
      </w:rPr>
      <w:t>in</w:t>
    </w:r>
    <w:r>
      <w:rPr>
        <w:rFonts w:ascii="Caecilia LT Std Roman" w:eastAsia="Caecilia LT Std Roman" w:hAnsi="Caecilia LT Std Roman" w:cs="Caecilia LT Std Roman"/>
        <w:i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i/>
        <w:color w:val="231F20"/>
        <w:sz w:val="16"/>
        <w:szCs w:val="16"/>
      </w:rPr>
      <w:t>Mathematics</w:t>
    </w:r>
    <w:r>
      <w:rPr>
        <w:rFonts w:ascii="Caecilia LT Std Roman" w:eastAsia="Caecilia LT Std Roman" w:hAnsi="Caecilia LT Std Roman" w:cs="Caecilia LT Std Roman"/>
        <w:i/>
        <w:color w:val="231F20"/>
        <w:spacing w:val="-19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i/>
        <w:color w:val="231F20"/>
        <w:spacing w:val="-2"/>
        <w:sz w:val="16"/>
        <w:szCs w:val="16"/>
      </w:rPr>
      <w:t>Teaching</w:t>
    </w:r>
    <w:r>
      <w:rPr>
        <w:rFonts w:ascii="Caecilia LT Std Roman" w:eastAsia="Caecilia LT Std Roman" w:hAnsi="Caecilia LT Std Roman" w:cs="Caecilia LT Std Roman"/>
        <w:i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i/>
        <w:color w:val="231F20"/>
        <w:sz w:val="16"/>
        <w:szCs w:val="16"/>
      </w:rPr>
      <w:t>and</w:t>
    </w:r>
    <w:r>
      <w:rPr>
        <w:rFonts w:ascii="Caecilia LT Std Roman" w:eastAsia="Caecilia LT Std Roman" w:hAnsi="Caecilia LT Std Roman" w:cs="Caecilia LT Std Roman"/>
        <w:i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i/>
        <w:color w:val="231F20"/>
        <w:sz w:val="16"/>
        <w:szCs w:val="16"/>
      </w:rPr>
      <w:t>Learning:</w:t>
    </w:r>
    <w:r>
      <w:rPr>
        <w:rFonts w:ascii="Caecilia LT Std Roman" w:eastAsia="Caecilia LT Std Roman" w:hAnsi="Caecilia LT Std Roman" w:cs="Caecilia LT Std Roman"/>
        <w:i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i/>
        <w:color w:val="231F20"/>
        <w:sz w:val="16"/>
        <w:szCs w:val="16"/>
      </w:rPr>
      <w:t>Moving</w:t>
    </w:r>
    <w:r>
      <w:rPr>
        <w:rFonts w:ascii="Caecilia LT Std Roman" w:eastAsia="Caecilia LT Std Roman" w:hAnsi="Caecilia LT Std Roman" w:cs="Caecilia LT Std Roman"/>
        <w:i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i/>
        <w:color w:val="231F20"/>
        <w:spacing w:val="-1"/>
        <w:sz w:val="16"/>
        <w:szCs w:val="16"/>
      </w:rPr>
      <w:t>Beyond</w:t>
    </w:r>
    <w:r>
      <w:rPr>
        <w:rFonts w:ascii="Caecilia LT Std Roman" w:eastAsia="Caecilia LT Std Roman" w:hAnsi="Caecilia LT Std Roman" w:cs="Caecilia LT Std Roman"/>
        <w:i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i/>
        <w:color w:val="231F20"/>
        <w:sz w:val="16"/>
        <w:szCs w:val="16"/>
      </w:rPr>
      <w:t>Basic</w:t>
    </w:r>
    <w:r>
      <w:rPr>
        <w:rFonts w:ascii="Caecilia LT Std Roman" w:eastAsia="Caecilia LT Std Roman" w:hAnsi="Caecilia LT Std Roman" w:cs="Caecilia LT Std Roman"/>
        <w:i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i/>
        <w:color w:val="231F20"/>
        <w:spacing w:val="-2"/>
        <w:sz w:val="16"/>
        <w:szCs w:val="16"/>
      </w:rPr>
      <w:t>Facts</w:t>
    </w:r>
    <w:r>
      <w:rPr>
        <w:rFonts w:ascii="Caecilia LT Std Roman" w:eastAsia="Caecilia LT Std Roman" w:hAnsi="Caecilia LT Std Roman" w:cs="Caecilia LT Std Roman"/>
        <w:i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i/>
        <w:color w:val="231F20"/>
        <w:sz w:val="16"/>
        <w:szCs w:val="16"/>
      </w:rPr>
      <w:t>and</w:t>
    </w:r>
    <w:r>
      <w:rPr>
        <w:rFonts w:ascii="Caecilia LT Std Roman" w:eastAsia="Caecilia LT Std Roman" w:hAnsi="Caecilia LT Std Roman" w:cs="Caecilia LT Std Roman"/>
        <w:i/>
        <w:color w:val="231F20"/>
        <w:spacing w:val="-1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i/>
        <w:color w:val="231F20"/>
        <w:sz w:val="16"/>
        <w:szCs w:val="16"/>
      </w:rPr>
      <w:t>Memorization,</w:t>
    </w:r>
    <w:r>
      <w:rPr>
        <w:rFonts w:ascii="Caecilia LT Std Roman" w:eastAsia="Caecilia LT Std Roman" w:hAnsi="Caecilia LT Std Roman" w:cs="Caecilia LT Std Roman"/>
        <w:i/>
        <w:color w:val="231F20"/>
        <w:spacing w:val="37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i/>
        <w:color w:val="231F20"/>
        <w:spacing w:val="-1"/>
        <w:sz w:val="16"/>
        <w:szCs w:val="16"/>
      </w:rPr>
      <w:t>Grades</w:t>
    </w:r>
    <w:r>
      <w:rPr>
        <w:rFonts w:ascii="Caecilia LT Std Roman" w:eastAsia="Caecilia LT Std Roman" w:hAnsi="Caecilia LT Std Roman" w:cs="Caecilia LT Std Roman"/>
        <w:i/>
        <w:color w:val="231F20"/>
        <w:spacing w:val="16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i/>
        <w:color w:val="231F20"/>
        <w:sz w:val="16"/>
        <w:szCs w:val="16"/>
      </w:rPr>
      <w:t>K–8</w:t>
    </w:r>
    <w:r>
      <w:rPr>
        <w:rFonts w:ascii="Caecilia LT Std Roman" w:eastAsia="Caecilia LT Std Roman" w:hAnsi="Caecilia LT Std Roman" w:cs="Caecilia LT Std Roman"/>
        <w:i/>
        <w:color w:val="231F20"/>
        <w:spacing w:val="16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pacing w:val="-3"/>
        <w:sz w:val="16"/>
        <w:szCs w:val="16"/>
      </w:rPr>
      <w:t>by</w:t>
    </w:r>
    <w:r>
      <w:rPr>
        <w:rFonts w:ascii="Caecilia LT Std Roman" w:eastAsia="Caecilia LT Std Roman" w:hAnsi="Caecilia LT Std Roman" w:cs="Caecilia LT Std Roman"/>
        <w:color w:val="231F20"/>
        <w:spacing w:val="16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>Jennifer</w:t>
    </w:r>
    <w:r>
      <w:rPr>
        <w:rFonts w:ascii="Caecilia LT Std Roman" w:eastAsia="Caecilia LT Std Roman" w:hAnsi="Caecilia LT Std Roman" w:cs="Caecilia LT Std Roman"/>
        <w:color w:val="231F20"/>
        <w:spacing w:val="16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>M.</w:t>
    </w:r>
    <w:r>
      <w:rPr>
        <w:rFonts w:ascii="Caecilia LT Std Roman" w:eastAsia="Caecilia LT Std Roman" w:hAnsi="Caecilia LT Std Roman" w:cs="Caecilia LT Std Roman"/>
        <w:color w:val="231F20"/>
        <w:spacing w:val="11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>Bay-Williams</w:t>
    </w:r>
    <w:r>
      <w:rPr>
        <w:rFonts w:ascii="Caecilia LT Std Roman" w:eastAsia="Caecilia LT Std Roman" w:hAnsi="Caecilia LT Std Roman" w:cs="Caecilia LT Std Roman"/>
        <w:color w:val="231F20"/>
        <w:spacing w:val="16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>and</w:t>
    </w:r>
    <w:r>
      <w:rPr>
        <w:rFonts w:ascii="Caecilia LT Std Roman" w:eastAsia="Caecilia LT Std Roman" w:hAnsi="Caecilia LT Std Roman" w:cs="Caecilia LT Std Roman"/>
        <w:color w:val="231F20"/>
        <w:spacing w:val="16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>John</w:t>
    </w:r>
    <w:r>
      <w:rPr>
        <w:rFonts w:ascii="Caecilia LT Std Roman" w:eastAsia="Caecilia LT Std Roman" w:hAnsi="Caecilia LT Std Roman" w:cs="Caecilia LT Std Roman"/>
        <w:color w:val="231F20"/>
        <w:spacing w:val="16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pacing w:val="-3"/>
        <w:sz w:val="16"/>
        <w:szCs w:val="16"/>
      </w:rPr>
      <w:t>J.</w:t>
    </w:r>
    <w:r>
      <w:rPr>
        <w:rFonts w:ascii="Caecilia LT Std Roman" w:eastAsia="Caecilia LT Std Roman" w:hAnsi="Caecilia LT Std Roman" w:cs="Caecilia LT Std Roman"/>
        <w:color w:val="231F20"/>
        <w:spacing w:val="11"/>
        <w:sz w:val="16"/>
        <w:szCs w:val="16"/>
      </w:rPr>
      <w:t xml:space="preserve"> </w:t>
    </w:r>
    <w:proofErr w:type="spellStart"/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>SanGiovanni</w:t>
    </w:r>
    <w:proofErr w:type="spellEnd"/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 xml:space="preserve">.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>Thousand</w:t>
    </w:r>
    <w:r>
      <w:rPr>
        <w:rFonts w:ascii="Caecilia LT Std Roman" w:eastAsia="Caecilia LT Std Roman" w:hAnsi="Caecilia LT Std Roman" w:cs="Caecilia LT Std Roman"/>
        <w:color w:val="231F20"/>
        <w:spacing w:val="16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>Oaks,</w:t>
    </w:r>
    <w:r>
      <w:rPr>
        <w:rFonts w:ascii="Caecilia LT Std Roman" w:eastAsia="Caecilia LT Std Roman" w:hAnsi="Caecilia LT Std Roman" w:cs="Caecilia LT Std Roman"/>
        <w:color w:val="231F20"/>
        <w:spacing w:val="11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pacing w:val="-2"/>
        <w:sz w:val="16"/>
        <w:szCs w:val="16"/>
      </w:rPr>
      <w:t>CA:</w:t>
    </w:r>
    <w:r>
      <w:rPr>
        <w:rFonts w:ascii="Caecilia LT Std Roman" w:eastAsia="Caecilia LT Std Roman" w:hAnsi="Caecilia LT Std Roman" w:cs="Caecilia LT Std Roman"/>
        <w:color w:val="231F20"/>
        <w:spacing w:val="16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>Corwin,</w:t>
    </w:r>
    <w:r>
      <w:rPr>
        <w:rFonts w:ascii="Caecilia LT Std Roman" w:eastAsia="Caecilia LT Std Roman" w:hAnsi="Caecilia LT Std Roman" w:cs="Caecilia LT Std Roman"/>
        <w:color w:val="231F20"/>
        <w:spacing w:val="11"/>
        <w:sz w:val="16"/>
        <w:szCs w:val="16"/>
      </w:rPr>
      <w:t xml:space="preserve"> </w:t>
    </w:r>
    <w:hyperlink r:id="rId1">
      <w:r>
        <w:rPr>
          <w:rFonts w:ascii="Caecilia LT Std Roman" w:eastAsia="Caecilia LT Std Roman" w:hAnsi="Caecilia LT Std Roman" w:cs="Caecilia LT Std Roman"/>
          <w:color w:val="231F20"/>
          <w:spacing w:val="-1"/>
          <w:sz w:val="16"/>
          <w:szCs w:val="16"/>
        </w:rPr>
        <w:t>www.corwin.com.</w:t>
      </w:r>
    </w:hyperlink>
    <w:r>
      <w:rPr>
        <w:rFonts w:ascii="Caecilia LT Std Roman" w:eastAsia="Caecilia LT Std Roman" w:hAnsi="Caecilia LT Std Roman" w:cs="Caecilia LT Std Roman"/>
        <w:color w:val="231F20"/>
        <w:spacing w:val="11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>Copyright</w:t>
    </w:r>
    <w:r>
      <w:rPr>
        <w:rFonts w:ascii="Caecilia LT Std Roman" w:eastAsia="Caecilia LT Std Roman" w:hAnsi="Caecilia LT Std Roman" w:cs="Caecilia LT Std Roman"/>
        <w:color w:val="231F20"/>
        <w:spacing w:val="16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>©</w:t>
    </w:r>
    <w:r>
      <w:rPr>
        <w:rFonts w:ascii="Caecilia LT Std Roman" w:eastAsia="Caecilia LT Std Roman" w:hAnsi="Caecilia LT Std Roman" w:cs="Caecilia LT Std Roman"/>
        <w:color w:val="231F20"/>
        <w:spacing w:val="16"/>
        <w:sz w:val="16"/>
        <w:szCs w:val="16"/>
      </w:rPr>
      <w:t xml:space="preserve"> </w:t>
    </w:r>
    <w:r w:rsidR="007B416D">
      <w:rPr>
        <w:rFonts w:ascii="Caecilia LT Std Roman" w:eastAsia="Caecilia LT Std Roman" w:hAnsi="Caecilia LT Std Roman" w:cs="Caecilia LT Std Roman"/>
        <w:color w:val="231F20"/>
        <w:sz w:val="16"/>
        <w:szCs w:val="16"/>
      </w:rPr>
      <w:t>2021</w:t>
    </w:r>
    <w:r>
      <w:rPr>
        <w:rFonts w:ascii="Caecilia LT Std Roman" w:eastAsia="Caecilia LT Std Roman" w:hAnsi="Caecilia LT Std Roman" w:cs="Caecilia LT Std Roman"/>
        <w:color w:val="231F20"/>
        <w:spacing w:val="16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pacing w:val="-3"/>
        <w:sz w:val="16"/>
        <w:szCs w:val="16"/>
      </w:rPr>
      <w:t>by</w:t>
    </w:r>
    <w:r>
      <w:rPr>
        <w:rFonts w:ascii="Caecilia LT Std Roman" w:eastAsia="Caecilia LT Std Roman" w:hAnsi="Caecilia LT Std Roman" w:cs="Caecilia LT Std Roman"/>
        <w:color w:val="231F20"/>
        <w:spacing w:val="51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 xml:space="preserve">Corwin </w:t>
    </w: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>Press,</w:t>
    </w:r>
    <w:r>
      <w:rPr>
        <w:rFonts w:ascii="Caecilia LT Std Roman" w:eastAsia="Caecilia LT Std Roman" w:hAnsi="Caecilia LT Std Roman" w:cs="Caecilia LT Std Roman"/>
        <w:color w:val="231F20"/>
        <w:spacing w:val="-6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>Inc.</w:t>
    </w:r>
    <w:r>
      <w:rPr>
        <w:rFonts w:ascii="Caecilia LT Std Roman" w:eastAsia="Caecilia LT Std Roman" w:hAnsi="Caecilia LT Std Roman" w:cs="Caecilia LT Std Roman"/>
        <w:color w:val="231F20"/>
        <w:spacing w:val="-12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 xml:space="preserve">All rights </w:t>
    </w: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>reserved.</w:t>
    </w:r>
    <w:r>
      <w:rPr>
        <w:rFonts w:ascii="Caecilia LT Std Roman" w:eastAsia="Caecilia LT Std Roman" w:hAnsi="Caecilia LT Std Roman" w:cs="Caecilia LT Std Roman"/>
        <w:color w:val="231F20"/>
        <w:spacing w:val="-6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>Reproduction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 xml:space="preserve"> authorized for educational use </w:t>
    </w:r>
    <w:r>
      <w:rPr>
        <w:rFonts w:ascii="Caecilia LT Std Roman" w:eastAsia="Caecilia LT Std Roman" w:hAnsi="Caecilia LT Std Roman" w:cs="Caecilia LT Std Roman"/>
        <w:color w:val="231F20"/>
        <w:spacing w:val="-3"/>
        <w:sz w:val="16"/>
        <w:szCs w:val="16"/>
      </w:rPr>
      <w:t>by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 xml:space="preserve"> educators,</w:t>
    </w:r>
    <w:r>
      <w:rPr>
        <w:rFonts w:ascii="Caecilia LT Std Roman" w:eastAsia="Caecilia LT Std Roman" w:hAnsi="Caecilia LT Std Roman" w:cs="Caecilia LT Std Roman"/>
        <w:color w:val="231F20"/>
        <w:spacing w:val="-6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 xml:space="preserve">local </w:t>
    </w: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>school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 xml:space="preserve"> sites,</w:t>
    </w:r>
    <w:r>
      <w:rPr>
        <w:rFonts w:ascii="Caecilia LT Std Roman" w:eastAsia="Caecilia LT Std Roman" w:hAnsi="Caecilia LT Std Roman" w:cs="Caecilia LT Std Roman"/>
        <w:color w:val="231F20"/>
        <w:spacing w:val="-6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 xml:space="preserve">and/or </w:t>
    </w: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>noncommercial</w:t>
    </w:r>
    <w:r>
      <w:rPr>
        <w:rFonts w:ascii="Caecilia LT Std Roman" w:eastAsia="Caecilia LT Std Roman" w:hAnsi="Caecilia LT Std Roman" w:cs="Caecilia LT Std Roman"/>
        <w:color w:val="231F20"/>
        <w:spacing w:val="63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>or</w:t>
    </w: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 xml:space="preserve"> nonpr</w:t>
    </w:r>
    <w:r>
      <w:rPr>
        <w:rFonts w:ascii="Caecilia LT Std Roman" w:eastAsia="Caecilia LT Std Roman" w:hAnsi="Caecilia LT Std Roman" w:cs="Caecilia LT Std Roman"/>
        <w:color w:val="231F20"/>
        <w:spacing w:val="-2"/>
        <w:sz w:val="16"/>
        <w:szCs w:val="16"/>
      </w:rPr>
      <w:t>ofit</w:t>
    </w: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>entities</w:t>
    </w: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>that</w:t>
    </w: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pacing w:val="-2"/>
        <w:sz w:val="16"/>
        <w:szCs w:val="16"/>
      </w:rPr>
      <w:t>have</w:t>
    </w: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 xml:space="preserve"> purchased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>the</w:t>
    </w:r>
    <w:r>
      <w:rPr>
        <w:rFonts w:ascii="Caecilia LT Std Roman" w:eastAsia="Caecilia LT Std Roman" w:hAnsi="Caecilia LT Std Roman" w:cs="Caecilia LT Std Roman"/>
        <w:color w:val="231F20"/>
        <w:spacing w:val="-1"/>
        <w:sz w:val="16"/>
        <w:szCs w:val="16"/>
      </w:rPr>
      <w:t xml:space="preserve"> </w:t>
    </w:r>
    <w:r>
      <w:rPr>
        <w:rFonts w:ascii="Caecilia LT Std Roman" w:eastAsia="Caecilia LT Std Roman" w:hAnsi="Caecilia LT Std Roman" w:cs="Caecilia LT Std Roman"/>
        <w:color w:val="231F20"/>
        <w:sz w:val="16"/>
        <w:szCs w:val="16"/>
      </w:rPr>
      <w:t>book.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9C" w:rsidRDefault="00C41C9C" w:rsidP="00C41C9C">
      <w:r>
        <w:separator/>
      </w:r>
    </w:p>
  </w:footnote>
  <w:footnote w:type="continuationSeparator" w:id="0">
    <w:p w:rsidR="00C41C9C" w:rsidRDefault="00C41C9C" w:rsidP="00C41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6188"/>
    <w:rsid w:val="002F318A"/>
    <w:rsid w:val="0038197E"/>
    <w:rsid w:val="00506188"/>
    <w:rsid w:val="007B416D"/>
    <w:rsid w:val="009261EC"/>
    <w:rsid w:val="00C4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5D64"/>
  <w15:docId w15:val="{AF6AE0CF-3582-4D77-B678-5DC42131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4"/>
      <w:ind w:left="4299"/>
      <w:outlineLvl w:val="0"/>
    </w:pPr>
    <w:rPr>
      <w:rFonts w:ascii="Facit" w:eastAsia="Facit" w:hAnsi="Facit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ecilia LT Std Roman" w:eastAsia="Caecilia LT Std Roman" w:hAnsi="Caecilia LT Std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C9C"/>
  </w:style>
  <w:style w:type="paragraph" w:styleId="Footer">
    <w:name w:val="footer"/>
    <w:basedOn w:val="Normal"/>
    <w:link w:val="FooterChar"/>
    <w:uiPriority w:val="99"/>
    <w:unhideWhenUsed/>
    <w:rsid w:val="00C41C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w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Company>Integra Software services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Jeya Keerthi Santhana Raj</cp:lastModifiedBy>
  <cp:revision>6</cp:revision>
  <dcterms:created xsi:type="dcterms:W3CDTF">2020-12-14T20:04:00Z</dcterms:created>
  <dcterms:modified xsi:type="dcterms:W3CDTF">2021-03-10T12:46:00Z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2020-12-14T00:00:00Z</vt:filetime>
  </property>
</Properties>
</file>