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5B" w:rsidRDefault="00753A79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40pt;height:47.8pt;mso-position-horizontal-relative:char;mso-position-vertical-relative:line" coordorigin=",5" coordsize="10800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32" style="position:absolute" from="234,423" to="234,628" strokecolor="white" strokeweight="1.86303mm"/>
            <v:line id="_x0000_s1031" style="position:absolute" from="360,268" to="360,628" strokecolor="white" strokeweight="1.86336mm"/>
            <v:line id="_x0000_s1030" style="position:absolute" from="486,358" to="486,628" strokecolor="white" strokeweight="1.86303mm"/>
            <v:line id="_x0000_s1029" style="position:absolute" from="0,5" to="10800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32;width:737;height:757" filled="f" stroked="f">
              <v:textbox inset="0,0,0,0">
                <w:txbxContent>
                  <w:p w:rsidR="00224D5B" w:rsidRPr="00753A79" w:rsidRDefault="000B1452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753A79">
                      <w:rPr>
                        <w:color w:val="231F20"/>
                        <w:sz w:val="40"/>
                        <w:szCs w:val="40"/>
                      </w:rPr>
                      <w:t>9.6</w:t>
                    </w:r>
                  </w:p>
                </w:txbxContent>
              </v:textbox>
            </v:shape>
            <v:shape id="_x0000_s1027" type="#_x0000_t202" style="position:absolute;left:1737;top:340;width:6520;height:292" filled="f" stroked="f">
              <v:textbox inset="0,0,0,0">
                <w:txbxContent>
                  <w:p w:rsidR="00224D5B" w:rsidRDefault="000B1452" w:rsidP="00753A79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5"/>
                        <w:sz w:val="24"/>
                      </w:rPr>
                      <w:t xml:space="preserve">Teaching </w:t>
                    </w:r>
                    <w:r>
                      <w:rPr>
                        <w:color w:val="231F20"/>
                        <w:sz w:val="24"/>
                      </w:rPr>
                      <w:t xml:space="preserve">to Support Emergent </w:t>
                    </w:r>
                    <w:r>
                      <w:rPr>
                        <w:color w:val="231F20"/>
                        <w:spacing w:val="-4"/>
                        <w:sz w:val="24"/>
                      </w:rPr>
                      <w:t xml:space="preserve">Multilingual </w:t>
                    </w:r>
                    <w:r>
                      <w:rPr>
                        <w:color w:val="231F20"/>
                        <w:sz w:val="24"/>
                      </w:rPr>
                      <w:t>Students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4D5B" w:rsidRDefault="000B1452">
      <w:pPr>
        <w:pStyle w:val="BodyText"/>
        <w:spacing w:before="147" w:line="302" w:lineRule="auto"/>
        <w:ind w:left="100" w:right="254"/>
      </w:pPr>
      <w:r>
        <w:rPr>
          <w:color w:val="231F20"/>
        </w:rPr>
        <w:t xml:space="preserve">Instructions to the Coach: With the teacher, identify particular students to observe (this tool is set up for three, but it </w:t>
      </w:r>
      <w:proofErr w:type="gramStart"/>
      <w:r>
        <w:rPr>
          <w:color w:val="231F20"/>
        </w:rPr>
        <w:t>can  be</w:t>
      </w:r>
      <w:proofErr w:type="gramEnd"/>
      <w:r>
        <w:rPr>
          <w:color w:val="231F20"/>
        </w:rPr>
        <w:t xml:space="preserve"> adapted). Record these students’ actions and participation, along with teacher moves tha</w:t>
      </w:r>
      <w:bookmarkStart w:id="0" w:name="_GoBack"/>
      <w:bookmarkEnd w:id="0"/>
      <w:r>
        <w:rPr>
          <w:color w:val="231F20"/>
        </w:rPr>
        <w:t xml:space="preserve">t are intended to support these students. After the observation, map the data to the categories in </w:t>
      </w:r>
      <w:r>
        <w:rPr>
          <w:color w:val="231F20"/>
          <w:spacing w:val="-3"/>
        </w:rPr>
        <w:t>Tool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9.3.</w:t>
      </w:r>
    </w:p>
    <w:p w:rsidR="00224D5B" w:rsidRDefault="00224D5B">
      <w:pPr>
        <w:pStyle w:val="BodyText"/>
        <w:spacing w:before="4"/>
        <w:rPr>
          <w:sz w:val="28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8"/>
        <w:gridCol w:w="2698"/>
        <w:gridCol w:w="2698"/>
        <w:gridCol w:w="2698"/>
      </w:tblGrid>
      <w:tr w:rsidR="00224D5B">
        <w:trPr>
          <w:trHeight w:val="1070"/>
        </w:trPr>
        <w:tc>
          <w:tcPr>
            <w:tcW w:w="2698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224D5B" w:rsidRDefault="000B1452">
            <w:pPr>
              <w:pStyle w:val="TableParagraph"/>
              <w:spacing w:before="39"/>
              <w:ind w:left="586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Student’s Name</w:t>
            </w:r>
          </w:p>
        </w:tc>
        <w:tc>
          <w:tcPr>
            <w:tcW w:w="2698" w:type="dxa"/>
            <w:tcBorders>
              <w:top w:val="nil"/>
              <w:bottom w:val="nil"/>
            </w:tcBorders>
            <w:shd w:val="clear" w:color="auto" w:fill="008CA7"/>
          </w:tcPr>
          <w:p w:rsidR="00224D5B" w:rsidRDefault="000B1452">
            <w:pPr>
              <w:pStyle w:val="TableParagraph"/>
              <w:spacing w:before="39" w:line="302" w:lineRule="auto"/>
              <w:ind w:left="712" w:hanging="215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Student’s Actions (Movements)</w:t>
            </w:r>
          </w:p>
        </w:tc>
        <w:tc>
          <w:tcPr>
            <w:tcW w:w="2698" w:type="dxa"/>
            <w:tcBorders>
              <w:top w:val="nil"/>
              <w:bottom w:val="nil"/>
            </w:tcBorders>
            <w:shd w:val="clear" w:color="auto" w:fill="008CA7"/>
          </w:tcPr>
          <w:p w:rsidR="00224D5B" w:rsidRDefault="000B1452">
            <w:pPr>
              <w:pStyle w:val="TableParagraph"/>
              <w:spacing w:before="39" w:line="302" w:lineRule="auto"/>
              <w:ind w:left="375" w:right="327" w:hanging="39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Student’s Responses (Speaking, Reading, Writing, Listening)</w:t>
            </w:r>
          </w:p>
        </w:tc>
        <w:tc>
          <w:tcPr>
            <w:tcW w:w="2698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224D5B" w:rsidRDefault="000B1452">
            <w:pPr>
              <w:pStyle w:val="TableParagraph"/>
              <w:spacing w:before="39" w:line="302" w:lineRule="auto"/>
              <w:ind w:left="648" w:hanging="540"/>
              <w:rPr>
                <w:b/>
                <w:i/>
                <w:sz w:val="17"/>
              </w:rPr>
            </w:pPr>
            <w:r>
              <w:rPr>
                <w:b/>
                <w:i/>
                <w:color w:val="FFFFFF"/>
                <w:sz w:val="17"/>
              </w:rPr>
              <w:t>Teacher Moves Related to the Student(s)</w:t>
            </w:r>
          </w:p>
        </w:tc>
      </w:tr>
      <w:tr w:rsidR="00224D5B">
        <w:trPr>
          <w:trHeight w:val="3169"/>
        </w:trPr>
        <w:tc>
          <w:tcPr>
            <w:tcW w:w="2698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24D5B" w:rsidRDefault="00224D5B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24D5B" w:rsidRDefault="00224D5B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24D5B" w:rsidRDefault="00224D5B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24D5B" w:rsidRDefault="00224D5B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224D5B">
        <w:trPr>
          <w:trHeight w:val="3170"/>
        </w:trPr>
        <w:tc>
          <w:tcPr>
            <w:tcW w:w="269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24D5B" w:rsidRDefault="00224D5B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9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24D5B" w:rsidRDefault="00224D5B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9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24D5B" w:rsidRDefault="00224D5B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9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24D5B" w:rsidRDefault="00224D5B">
            <w:pPr>
              <w:pStyle w:val="TableParagraph"/>
              <w:rPr>
                <w:rFonts w:ascii="Times"/>
                <w:sz w:val="14"/>
              </w:rPr>
            </w:pPr>
          </w:p>
        </w:tc>
      </w:tr>
      <w:tr w:rsidR="00224D5B">
        <w:trPr>
          <w:trHeight w:val="3170"/>
        </w:trPr>
        <w:tc>
          <w:tcPr>
            <w:tcW w:w="269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24D5B" w:rsidRDefault="00224D5B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9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24D5B" w:rsidRDefault="00224D5B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9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24D5B" w:rsidRDefault="00224D5B">
            <w:pPr>
              <w:pStyle w:val="TableParagraph"/>
              <w:rPr>
                <w:rFonts w:ascii="Times"/>
                <w:sz w:val="14"/>
              </w:rPr>
            </w:pPr>
          </w:p>
        </w:tc>
        <w:tc>
          <w:tcPr>
            <w:tcW w:w="2698" w:type="dxa"/>
            <w:tcBorders>
              <w:top w:val="single" w:sz="4" w:space="0" w:color="008CA7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224D5B" w:rsidRDefault="00224D5B">
            <w:pPr>
              <w:pStyle w:val="TableParagraph"/>
              <w:rPr>
                <w:rFonts w:ascii="Times"/>
                <w:sz w:val="14"/>
              </w:rPr>
            </w:pPr>
          </w:p>
        </w:tc>
      </w:tr>
    </w:tbl>
    <w:p w:rsidR="00224D5B" w:rsidRDefault="00224D5B">
      <w:pPr>
        <w:pStyle w:val="BodyText"/>
        <w:rPr>
          <w:sz w:val="20"/>
        </w:rPr>
      </w:pPr>
    </w:p>
    <w:p w:rsidR="00224D5B" w:rsidRDefault="00224D5B">
      <w:pPr>
        <w:pStyle w:val="BodyText"/>
        <w:rPr>
          <w:sz w:val="20"/>
        </w:rPr>
      </w:pPr>
    </w:p>
    <w:p w:rsidR="00224D5B" w:rsidRDefault="00224D5B">
      <w:pPr>
        <w:pStyle w:val="BodyText"/>
        <w:spacing w:before="3"/>
        <w:rPr>
          <w:sz w:val="25"/>
        </w:rPr>
      </w:pPr>
    </w:p>
    <w:p w:rsidR="00224D5B" w:rsidRDefault="000B1452">
      <w:pPr>
        <w:spacing w:line="264" w:lineRule="auto"/>
        <w:ind w:left="100" w:right="254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224D5B">
      <w:type w:val="continuous"/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Italic">
    <w:altName w:val="Arial"/>
    <w:charset w:val="00"/>
    <w:family w:val="swiss"/>
    <w:pitch w:val="variable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24D5B"/>
    <w:rsid w:val="000B1452"/>
    <w:rsid w:val="00224D5B"/>
    <w:rsid w:val="0075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-BoldItalic" w:eastAsia="Verdana-BoldItalic" w:hAnsi="Verdana-BoldItalic" w:cs="Verdana-BoldItal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2018-04-06T16:48:00Z</dcterms:created>
  <dcterms:modified xsi:type="dcterms:W3CDTF">2018-04-10T16:41:00Z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