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09" w:rsidRDefault="0016610D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pt;height:47.75pt;mso-position-horizontal-relative:char;mso-position-vertical-relative:line" coordorigin=",5" coordsize="10800,955">
            <v:shape id="_x0000_s1034" style="position:absolute;top:54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192;width:511;height:511" coordorigin="105,193" coordsize="511,511" o:spt="100" adj="0,,0" path="m140,193r-25,l105,203r,484l107,692r9,9l121,703r484,l615,693r,-25l605,658r-455,l150,203,140,193xm605,658r-455,l605,658r,xe" stroked="f">
              <v:stroke joinstyle="round"/>
              <v:formulas/>
              <v:path arrowok="t" o:connecttype="segments"/>
            </v:shape>
            <v:line id="_x0000_s1032" style="position:absolute" from="234,423" to="234,628" strokecolor="white" strokeweight="1.86303mm"/>
            <v:line id="_x0000_s1031" style="position:absolute" from="360,268" to="360,628" strokecolor="white" strokeweight="1.86336mm"/>
            <v:line id="_x0000_s1030" style="position:absolute" from="486,358" to="486,62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38;width:737;height:757" filled="f" stroked="f">
              <v:textbox inset="0,0,0,0">
                <w:txbxContent>
                  <w:p w:rsidR="005A4109" w:rsidRPr="0016610D" w:rsidRDefault="006C7466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16610D">
                      <w:rPr>
                        <w:color w:val="231F20"/>
                        <w:sz w:val="40"/>
                        <w:szCs w:val="40"/>
                      </w:rPr>
                      <w:t>9.5</w:t>
                    </w:r>
                  </w:p>
                </w:txbxContent>
              </v:textbox>
            </v:shape>
            <v:shape id="_x0000_s1027" type="#_x0000_t202" style="position:absolute;left:1737;top:346;width:5669;height:612" filled="f" stroked="f">
              <v:textbox inset="0,0,0,0">
                <w:txbxContent>
                  <w:p w:rsidR="005A4109" w:rsidRDefault="006C7466" w:rsidP="0016610D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Focus on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Culturally Responsive </w:t>
                    </w:r>
                    <w:r>
                      <w:rPr>
                        <w:color w:val="231F20"/>
                        <w:sz w:val="24"/>
                      </w:rPr>
                      <w:t>Mathematics</w:t>
                    </w:r>
                  </w:p>
                  <w:p w:rsidR="005A4109" w:rsidRDefault="006C7466" w:rsidP="0016610D">
                    <w:pPr>
                      <w:spacing w:before="28"/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Instruction (CRMI)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A4109" w:rsidRDefault="005A4109">
      <w:pPr>
        <w:pStyle w:val="BodyText"/>
        <w:spacing w:before="7"/>
        <w:rPr>
          <w:rFonts w:ascii="Times"/>
          <w:i w:val="0"/>
          <w:sz w:val="18"/>
        </w:rPr>
      </w:pPr>
    </w:p>
    <w:p w:rsidR="005A4109" w:rsidRDefault="006C7466">
      <w:pPr>
        <w:pStyle w:val="BodyText"/>
        <w:spacing w:before="100" w:line="302" w:lineRule="auto"/>
        <w:ind w:left="100" w:right="4"/>
      </w:pPr>
      <w:r>
        <w:rPr>
          <w:color w:val="231F20"/>
        </w:rPr>
        <w:t>Instructions to the Coach: Write observed examples i</w:t>
      </w:r>
      <w:bookmarkStart w:id="0" w:name="_GoBack"/>
      <w:bookmarkEnd w:id="0"/>
      <w:r>
        <w:rPr>
          <w:color w:val="231F20"/>
        </w:rPr>
        <w:t>n each category or record actions or observations on a separate page. During the reflecting conversation, place actions in each category.</w:t>
      </w:r>
    </w:p>
    <w:p w:rsidR="005A4109" w:rsidRDefault="005A4109">
      <w:pPr>
        <w:spacing w:before="2" w:after="1"/>
        <w:rPr>
          <w:i/>
          <w:sz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5A4109">
        <w:trPr>
          <w:trHeight w:val="295"/>
        </w:trPr>
        <w:tc>
          <w:tcPr>
            <w:tcW w:w="5395" w:type="dxa"/>
            <w:tcBorders>
              <w:right w:val="single" w:sz="4" w:space="0" w:color="FFFFFF"/>
            </w:tcBorders>
            <w:shd w:val="clear" w:color="auto" w:fill="008CA7"/>
          </w:tcPr>
          <w:p w:rsidR="005A4109" w:rsidRDefault="006C7466">
            <w:pPr>
              <w:pStyle w:val="TableParagraph"/>
              <w:ind w:left="690" w:right="675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Important Content and High Expectations</w:t>
            </w:r>
          </w:p>
        </w:tc>
        <w:tc>
          <w:tcPr>
            <w:tcW w:w="5395" w:type="dxa"/>
            <w:tcBorders>
              <w:left w:val="single" w:sz="4" w:space="0" w:color="FFFFFF"/>
            </w:tcBorders>
            <w:shd w:val="clear" w:color="auto" w:fill="008CA7"/>
          </w:tcPr>
          <w:p w:rsidR="005A4109" w:rsidRDefault="006C7466">
            <w:pPr>
              <w:pStyle w:val="TableParagraph"/>
              <w:ind w:left="679" w:right="675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Positive Mathematical Identities</w:t>
            </w:r>
          </w:p>
        </w:tc>
      </w:tr>
      <w:tr w:rsidR="005A4109">
        <w:trPr>
          <w:trHeight w:val="5194"/>
        </w:trPr>
        <w:tc>
          <w:tcPr>
            <w:tcW w:w="5395" w:type="dxa"/>
            <w:tcBorders>
              <w:left w:val="single" w:sz="4" w:space="0" w:color="008CA7"/>
              <w:right w:val="single" w:sz="4" w:space="0" w:color="008CA7"/>
            </w:tcBorders>
          </w:tcPr>
          <w:p w:rsidR="005A4109" w:rsidRDefault="006C7466"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Content is grade-level appropriate and</w:t>
            </w:r>
          </w:p>
          <w:p w:rsidR="005A4109" w:rsidRDefault="006C7466">
            <w:pPr>
              <w:pStyle w:val="TableParagraph"/>
              <w:spacing w:before="30"/>
              <w:rPr>
                <w:sz w:val="14"/>
              </w:rPr>
            </w:pPr>
            <w:proofErr w:type="gramStart"/>
            <w:r>
              <w:rPr>
                <w:color w:val="231F20"/>
                <w:sz w:val="14"/>
              </w:rPr>
              <w:t>includes</w:t>
            </w:r>
            <w:proofErr w:type="gramEnd"/>
            <w:r>
              <w:rPr>
                <w:color w:val="231F20"/>
                <w:sz w:val="14"/>
              </w:rPr>
              <w:t xml:space="preserve"> high-level thinking, decision-making, and reasoning.</w:t>
            </w:r>
          </w:p>
        </w:tc>
        <w:tc>
          <w:tcPr>
            <w:tcW w:w="5395" w:type="dxa"/>
            <w:tcBorders>
              <w:left w:val="single" w:sz="4" w:space="0" w:color="008CA7"/>
              <w:right w:val="single" w:sz="4" w:space="0" w:color="008CA7"/>
            </w:tcBorders>
          </w:tcPr>
          <w:p w:rsidR="005A4109" w:rsidRDefault="006C7466">
            <w:pPr>
              <w:pStyle w:val="TableParagraph"/>
              <w:spacing w:before="46" w:line="283" w:lineRule="auto"/>
              <w:rPr>
                <w:sz w:val="14"/>
              </w:rPr>
            </w:pPr>
            <w:r>
              <w:rPr>
                <w:color w:val="231F20"/>
                <w:sz w:val="14"/>
              </w:rPr>
              <w:t>Students share experiences, connect to their lives, use their own strategies, and use multiple ways to show understanding</w:t>
            </w:r>
          </w:p>
        </w:tc>
      </w:tr>
      <w:tr w:rsidR="005A4109">
        <w:trPr>
          <w:trHeight w:val="295"/>
        </w:trPr>
        <w:tc>
          <w:tcPr>
            <w:tcW w:w="5395" w:type="dxa"/>
            <w:tcBorders>
              <w:right w:val="single" w:sz="4" w:space="0" w:color="FFFFFF"/>
            </w:tcBorders>
            <w:shd w:val="clear" w:color="auto" w:fill="008CA7"/>
          </w:tcPr>
          <w:p w:rsidR="005A4109" w:rsidRDefault="006C7466">
            <w:pPr>
              <w:pStyle w:val="TableParagraph"/>
              <w:ind w:left="690" w:right="675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Relevant Content</w:t>
            </w:r>
          </w:p>
        </w:tc>
        <w:tc>
          <w:tcPr>
            <w:tcW w:w="5395" w:type="dxa"/>
            <w:tcBorders>
              <w:left w:val="single" w:sz="4" w:space="0" w:color="FFFFFF"/>
            </w:tcBorders>
            <w:shd w:val="clear" w:color="auto" w:fill="008CA7"/>
          </w:tcPr>
          <w:p w:rsidR="005A4109" w:rsidRDefault="006C7466">
            <w:pPr>
              <w:pStyle w:val="TableParagraph"/>
              <w:ind w:left="679" w:right="675"/>
              <w:jc w:val="center"/>
              <w:rPr>
                <w:rFonts w:ascii="Verdana-BoldItalic" w:hAnsi="Verdana-BoldItalic"/>
                <w:b/>
                <w:i/>
                <w:sz w:val="17"/>
              </w:rPr>
            </w:pPr>
            <w:r>
              <w:rPr>
                <w:rFonts w:ascii="Verdana-BoldItalic" w:hAnsi="Verdana-BoldItalic"/>
                <w:b/>
                <w:i/>
                <w:color w:val="FFFFFF"/>
                <w:sz w:val="17"/>
              </w:rPr>
              <w:t>Each Student’s Contributions Valued</w:t>
            </w:r>
          </w:p>
        </w:tc>
      </w:tr>
      <w:tr w:rsidR="005A4109">
        <w:trPr>
          <w:trHeight w:val="5194"/>
        </w:trPr>
        <w:tc>
          <w:tcPr>
            <w:tcW w:w="5395" w:type="dxa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A4109" w:rsidRDefault="006C7466">
            <w:pPr>
              <w:pStyle w:val="TableParagraph"/>
              <w:spacing w:before="46" w:line="283" w:lineRule="auto"/>
              <w:rPr>
                <w:sz w:val="14"/>
              </w:rPr>
            </w:pPr>
            <w:r>
              <w:rPr>
                <w:color w:val="231F20"/>
                <w:sz w:val="14"/>
              </w:rPr>
              <w:t>The content is connected to student lives and has relevant contexts, multiple representations, and so on.</w:t>
            </w:r>
          </w:p>
        </w:tc>
        <w:tc>
          <w:tcPr>
            <w:tcW w:w="5395" w:type="dxa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A4109" w:rsidRDefault="006C7466">
            <w:pPr>
              <w:pStyle w:val="TableParagraph"/>
              <w:spacing w:before="46" w:line="283" w:lineRule="auto"/>
              <w:rPr>
                <w:sz w:val="14"/>
              </w:rPr>
            </w:pPr>
            <w:r>
              <w:rPr>
                <w:color w:val="231F20"/>
                <w:sz w:val="14"/>
              </w:rPr>
              <w:t>Justification is used to determine the correctness of solutions, equitable sharing strategies used, and choices provided.</w:t>
            </w:r>
          </w:p>
        </w:tc>
      </w:tr>
    </w:tbl>
    <w:p w:rsidR="005A4109" w:rsidRDefault="005A4109">
      <w:pPr>
        <w:rPr>
          <w:i/>
          <w:sz w:val="20"/>
        </w:rPr>
      </w:pPr>
    </w:p>
    <w:p w:rsidR="005A4109" w:rsidRDefault="005A4109">
      <w:pPr>
        <w:spacing w:before="1"/>
        <w:rPr>
          <w:i/>
          <w:sz w:val="24"/>
        </w:rPr>
      </w:pPr>
    </w:p>
    <w:p w:rsidR="005A4109" w:rsidRDefault="006C7466">
      <w:pPr>
        <w:spacing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5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5A4109">
      <w:type w:val="continuous"/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4109"/>
    <w:rsid w:val="0016610D"/>
    <w:rsid w:val="005A4109"/>
    <w:rsid w:val="006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2018-04-06T16:47:00Z</dcterms:created>
  <dcterms:modified xsi:type="dcterms:W3CDTF">2018-04-10T16:40:00Z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