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F6" w:rsidRDefault="000765EF">
      <w:pPr>
        <w:pStyle w:val="BodyText"/>
        <w:ind w:left="95"/>
        <w:rPr>
          <w:rFonts w:ascii="Times"/>
          <w:i w:val="0"/>
          <w:sz w:val="20"/>
        </w:rPr>
      </w:pPr>
      <w:r>
        <w:rPr>
          <w:rFonts w:ascii="Times"/>
          <w:i w:val="0"/>
          <w:sz w:val="20"/>
        </w:rPr>
      </w:r>
      <w:r>
        <w:rPr>
          <w:rFonts w:ascii="Times"/>
          <w:i w:val="0"/>
          <w:sz w:val="20"/>
        </w:rPr>
        <w:pict>
          <v:group id="_x0000_s1035" style="width:539.95pt;height:48.5pt;mso-position-horizontal-relative:char;mso-position-vertical-relative:line" coordorigin=",5" coordsize="10799,970">
            <v:shape id="_x0000_s1043" style="position:absolute;top:69;width:720;height:906" coordorigin=",69" coordsize="720,906" o:spt="100" adj="0,,0" path="m720,69l,69,,975,360,871r360,l720,69xm720,871r-360,l720,975r,-104xe" fillcolor="#008ca7" stroked="f">
              <v:stroke joinstyle="round"/>
              <v:formulas/>
              <v:path arrowok="t" o:connecttype="segments"/>
            </v:shape>
            <v:shape id="_x0000_s1042" style="position:absolute;left:104;top:226;width:511;height:511" coordorigin="105,227" coordsize="511,511" o:spt="100" adj="0,,0" path="m140,227r-25,l105,237r,484l107,726r9,9l121,737r484,l615,727r,-25l605,692r-455,l150,237,140,227xm605,692r-455,l605,692r,xe" stroked="f">
              <v:stroke joinstyle="round"/>
              <v:formulas/>
              <v:path arrowok="t" o:connecttype="segments"/>
            </v:shape>
            <v:line id="_x0000_s1041" style="position:absolute" from="234,457" to="234,662" strokecolor="white" strokeweight="1.86303mm"/>
            <v:line id="_x0000_s1040" style="position:absolute" from="360,302" to="360,662" strokecolor="white" strokeweight="1.86336mm"/>
            <v:line id="_x0000_s1039" style="position:absolute" from="486,392" to="486,662" strokecolor="white" strokeweight="1.86303mm"/>
            <v:line id="_x0000_s1038" style="position:absolute" from="0,5" to="10799,5" strokecolor="#231f20" strokeweight=".5pt"/>
            <v:shapetype id="_x0000_t202" coordsize="21600,21600" o:spt="202" path="m,l,21600r21600,l21600,xe">
              <v:stroke joinstyle="miter"/>
              <v:path gradientshapeok="t" o:connecttype="rect"/>
            </v:shapetype>
            <v:shape id="_x0000_s1037" type="#_x0000_t202" style="position:absolute;left:990;top:148;width:737;height:757" filled="f" stroked="f">
              <v:textbox inset="0,0,0,0">
                <w:txbxContent>
                  <w:p w:rsidR="002405F6" w:rsidRPr="000765EF" w:rsidRDefault="00D84BF1">
                    <w:pPr>
                      <w:spacing w:before="72"/>
                      <w:rPr>
                        <w:sz w:val="40"/>
                        <w:szCs w:val="40"/>
                      </w:rPr>
                    </w:pPr>
                    <w:r w:rsidRPr="000765EF">
                      <w:rPr>
                        <w:color w:val="231F20"/>
                        <w:sz w:val="40"/>
                        <w:szCs w:val="40"/>
                      </w:rPr>
                      <w:t>8.7</w:t>
                    </w:r>
                  </w:p>
                </w:txbxContent>
              </v:textbox>
            </v:shape>
            <v:shape id="_x0000_s1036" type="#_x0000_t202" style="position:absolute;left:1735;top:356;width:3458;height:292" filled="f" stroked="f">
              <v:textbox inset="0,0,0,0">
                <w:txbxContent>
                  <w:p w:rsidR="002405F6" w:rsidRDefault="00D84BF1" w:rsidP="000765EF">
                    <w:pPr>
                      <w:ind w:left="142"/>
                      <w:rPr>
                        <w:sz w:val="24"/>
                      </w:rPr>
                    </w:pPr>
                    <w:r>
                      <w:rPr>
                        <w:color w:val="231F20"/>
                        <w:sz w:val="24"/>
                      </w:rPr>
                      <w:t>Differentiating Instruction</w:t>
                    </w:r>
                  </w:p>
                </w:txbxContent>
              </v:textbox>
            </v:shape>
            <w10:wrap type="none"/>
            <w10:anchorlock/>
          </v:group>
        </w:pict>
      </w:r>
    </w:p>
    <w:p w:rsidR="002405F6" w:rsidRDefault="000765EF">
      <w:pPr>
        <w:pStyle w:val="BodyText"/>
        <w:spacing w:before="155" w:line="302" w:lineRule="auto"/>
        <w:ind w:left="100" w:right="315"/>
      </w:pPr>
      <w:r>
        <w:pict>
          <v:group id="_x0000_s1032" style="position:absolute;left:0;text-align:left;margin-left:66.6pt;margin-top:69.55pt;width:63.15pt;height:58.5pt;z-index:-3424;mso-position-horizontal-relative:page" coordorigin="1332,1391" coordsize="1263,1170">
            <v:shape id="_x0000_s1034" style="position:absolute;left:1339;top:1398;width:1249;height:1155" coordorigin="1339,1398" coordsize="1249,1155" path="m1963,1398l1339,2553r1248,l1963,1398xe" fillcolor="#bcbec0" stroked="f">
              <v:path arrowok="t"/>
            </v:shape>
            <v:shape id="_x0000_s1033" style="position:absolute;left:1339;top:1398;width:1248;height:1155" coordorigin="1339,1398" coordsize="1248,1155" path="m1339,2553l1963,1398r624,1155l1339,2553xe" filled="f" strokecolor="#231f20" strokeweight=".26494mm">
              <v:path arrowok="t"/>
            </v:shape>
            <w10:wrap anchorx="page"/>
          </v:group>
        </w:pict>
      </w:r>
      <w:r>
        <w:pict>
          <v:group id="_x0000_s1029" style="position:absolute;left:0;text-align:left;margin-left:66.6pt;margin-top:245.55pt;width:63.15pt;height:58.5pt;z-index:-3400;mso-position-horizontal-relative:page" coordorigin="1332,4911" coordsize="1263,1170">
            <v:shape id="_x0000_s1031" style="position:absolute;left:1339;top:4918;width:1249;height:1155" coordorigin="1339,4918" coordsize="1249,1155" path="m1963,4918l1339,6073r1248,l1963,4918xe" fillcolor="#bcbec0" stroked="f">
              <v:path arrowok="t"/>
            </v:shape>
            <v:shape id="_x0000_s1030" style="position:absolute;left:1339;top:4918;width:1248;height:1155" coordorigin="1339,4918" coordsize="1248,1155" path="m1339,6073l1963,4918r624,1155l1339,6073xe" filled="f" strokecolor="#231f20" strokeweight=".26494mm">
              <v:path arrowok="t"/>
            </v:shape>
            <w10:wrap anchorx="page"/>
          </v:group>
        </w:pict>
      </w:r>
      <w:r w:rsidR="00D84BF1">
        <w:rPr>
          <w:color w:val="231F20"/>
        </w:rPr>
        <w:t>Instructions to the Coach: Gather data based on which type(s) of differentiation a teacher h</w:t>
      </w:r>
      <w:bookmarkStart w:id="0" w:name="_GoBack"/>
      <w:bookmarkEnd w:id="0"/>
      <w:r w:rsidR="00D84BF1">
        <w:rPr>
          <w:color w:val="231F20"/>
        </w:rPr>
        <w:t>as selected (e.g., content). Record any related statements, questions, classroom organization, and/or management.</w:t>
      </w:r>
    </w:p>
    <w:p w:rsidR="002405F6" w:rsidRDefault="002405F6">
      <w:pPr>
        <w:spacing w:before="4" w:after="1"/>
        <w:rPr>
          <w:i/>
          <w:sz w:val="28"/>
        </w:r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75"/>
        <w:gridCol w:w="3532"/>
        <w:gridCol w:w="4784"/>
      </w:tblGrid>
      <w:tr w:rsidR="002405F6">
        <w:trPr>
          <w:trHeight w:val="290"/>
        </w:trPr>
        <w:tc>
          <w:tcPr>
            <w:tcW w:w="6007" w:type="dxa"/>
            <w:gridSpan w:val="2"/>
            <w:tcBorders>
              <w:top w:val="nil"/>
              <w:left w:val="nil"/>
              <w:bottom w:val="nil"/>
            </w:tcBorders>
            <w:shd w:val="clear" w:color="auto" w:fill="008CA7"/>
          </w:tcPr>
          <w:p w:rsidR="002405F6" w:rsidRDefault="00D84BF1">
            <w:pPr>
              <w:pStyle w:val="TableParagraph"/>
              <w:spacing w:before="39"/>
              <w:ind w:left="1916"/>
              <w:rPr>
                <w:rFonts w:ascii="Verdana-BoldItalic"/>
                <w:b/>
                <w:i/>
                <w:sz w:val="17"/>
              </w:rPr>
            </w:pPr>
            <w:r>
              <w:rPr>
                <w:rFonts w:ascii="Verdana-BoldItalic"/>
                <w:b/>
                <w:i/>
                <w:color w:val="FFFFFF"/>
                <w:sz w:val="17"/>
              </w:rPr>
              <w:t>Type of Differentiation</w:t>
            </w:r>
          </w:p>
        </w:tc>
        <w:tc>
          <w:tcPr>
            <w:tcW w:w="4784" w:type="dxa"/>
            <w:tcBorders>
              <w:top w:val="nil"/>
              <w:bottom w:val="nil"/>
              <w:right w:val="nil"/>
            </w:tcBorders>
            <w:shd w:val="clear" w:color="auto" w:fill="008CA7"/>
          </w:tcPr>
          <w:p w:rsidR="002405F6" w:rsidRDefault="00D84BF1">
            <w:pPr>
              <w:pStyle w:val="TableParagraph"/>
              <w:spacing w:before="39"/>
              <w:ind w:left="1990" w:right="1987"/>
              <w:jc w:val="center"/>
              <w:rPr>
                <w:rFonts w:ascii="Verdana-BoldItalic"/>
                <w:b/>
                <w:i/>
                <w:sz w:val="17"/>
              </w:rPr>
            </w:pPr>
            <w:r>
              <w:rPr>
                <w:rFonts w:ascii="Verdana-BoldItalic"/>
                <w:b/>
                <w:i/>
                <w:color w:val="FFFFFF"/>
                <w:sz w:val="17"/>
              </w:rPr>
              <w:t>Teacher</w:t>
            </w:r>
          </w:p>
        </w:tc>
      </w:tr>
      <w:tr w:rsidR="002405F6">
        <w:trPr>
          <w:trHeight w:val="3514"/>
        </w:trPr>
        <w:tc>
          <w:tcPr>
            <w:tcW w:w="2475" w:type="dxa"/>
            <w:tcBorders>
              <w:top w:val="nil"/>
              <w:left w:val="single" w:sz="4" w:space="0" w:color="008CA7"/>
              <w:bottom w:val="single" w:sz="4" w:space="0" w:color="008CA7"/>
              <w:right w:val="single" w:sz="4" w:space="0" w:color="008CA7"/>
            </w:tcBorders>
          </w:tcPr>
          <w:p w:rsidR="002405F6" w:rsidRDefault="002405F6">
            <w:pPr>
              <w:pStyle w:val="TableParagraph"/>
              <w:rPr>
                <w:i/>
                <w:sz w:val="18"/>
              </w:rPr>
            </w:pPr>
          </w:p>
          <w:p w:rsidR="002405F6" w:rsidRDefault="002405F6">
            <w:pPr>
              <w:pStyle w:val="TableParagraph"/>
              <w:rPr>
                <w:i/>
                <w:sz w:val="18"/>
              </w:rPr>
            </w:pPr>
          </w:p>
          <w:p w:rsidR="002405F6" w:rsidRDefault="002405F6">
            <w:pPr>
              <w:pStyle w:val="TableParagraph"/>
              <w:rPr>
                <w:i/>
                <w:sz w:val="18"/>
              </w:rPr>
            </w:pPr>
          </w:p>
          <w:p w:rsidR="002405F6" w:rsidRDefault="00D84BF1">
            <w:pPr>
              <w:pStyle w:val="TableParagraph"/>
              <w:spacing w:before="125"/>
              <w:ind w:left="928" w:right="918"/>
              <w:jc w:val="center"/>
              <w:rPr>
                <w:rFonts w:ascii="Helvetica"/>
                <w:sz w:val="16"/>
              </w:rPr>
            </w:pPr>
            <w:r>
              <w:rPr>
                <w:rFonts w:ascii="Helvetica"/>
                <w:color w:val="231F20"/>
                <w:sz w:val="16"/>
              </w:rPr>
              <w:t>Content</w:t>
            </w:r>
          </w:p>
        </w:tc>
        <w:tc>
          <w:tcPr>
            <w:tcW w:w="3532" w:type="dxa"/>
            <w:tcBorders>
              <w:top w:val="nil"/>
              <w:left w:val="single" w:sz="4" w:space="0" w:color="008CA7"/>
              <w:bottom w:val="single" w:sz="4" w:space="0" w:color="008CA7"/>
              <w:right w:val="single" w:sz="4" w:space="0" w:color="008CA7"/>
            </w:tcBorders>
          </w:tcPr>
          <w:p w:rsidR="002405F6" w:rsidRDefault="00D84BF1">
            <w:pPr>
              <w:pStyle w:val="TableParagraph"/>
              <w:spacing w:before="46" w:line="283" w:lineRule="auto"/>
              <w:ind w:left="80" w:right="192"/>
              <w:rPr>
                <w:sz w:val="14"/>
              </w:rPr>
            </w:pPr>
            <w:r>
              <w:rPr>
                <w:b/>
                <w:color w:val="231F20"/>
                <w:sz w:val="14"/>
              </w:rPr>
              <w:t>What you want each student to know</w:t>
            </w:r>
            <w:r>
              <w:rPr>
                <w:color w:val="231F20"/>
                <w:sz w:val="14"/>
              </w:rPr>
              <w:t>— includes adapting the types of problems students are doing, changing objectives, working on different content in different groups, and so on. Are all students exploring content that is appropriate for their age and prior knowledge?</w:t>
            </w:r>
          </w:p>
        </w:tc>
        <w:tc>
          <w:tcPr>
            <w:tcW w:w="4784" w:type="dxa"/>
            <w:tcBorders>
              <w:top w:val="nil"/>
              <w:left w:val="single" w:sz="4" w:space="0" w:color="008CA7"/>
              <w:bottom w:val="single" w:sz="4" w:space="0" w:color="008CA7"/>
              <w:right w:val="single" w:sz="4" w:space="0" w:color="008CA7"/>
            </w:tcBorders>
          </w:tcPr>
          <w:p w:rsidR="002405F6" w:rsidRDefault="002405F6">
            <w:pPr>
              <w:pStyle w:val="TableParagraph"/>
              <w:rPr>
                <w:rFonts w:ascii="Times"/>
                <w:sz w:val="12"/>
              </w:rPr>
            </w:pPr>
          </w:p>
        </w:tc>
      </w:tr>
      <w:tr w:rsidR="002405F6">
        <w:trPr>
          <w:trHeight w:val="3510"/>
        </w:trPr>
        <w:tc>
          <w:tcPr>
            <w:tcW w:w="2475" w:type="dxa"/>
            <w:tcBorders>
              <w:top w:val="single" w:sz="4" w:space="0" w:color="008CA7"/>
              <w:left w:val="single" w:sz="4" w:space="0" w:color="008CA7"/>
              <w:bottom w:val="single" w:sz="4" w:space="0" w:color="008CA7"/>
              <w:right w:val="single" w:sz="4" w:space="0" w:color="008CA7"/>
            </w:tcBorders>
          </w:tcPr>
          <w:p w:rsidR="002405F6" w:rsidRDefault="002405F6">
            <w:pPr>
              <w:pStyle w:val="TableParagraph"/>
              <w:rPr>
                <w:i/>
                <w:sz w:val="18"/>
              </w:rPr>
            </w:pPr>
          </w:p>
          <w:p w:rsidR="002405F6" w:rsidRDefault="002405F6">
            <w:pPr>
              <w:pStyle w:val="TableParagraph"/>
              <w:rPr>
                <w:i/>
                <w:sz w:val="18"/>
              </w:rPr>
            </w:pPr>
          </w:p>
          <w:p w:rsidR="002405F6" w:rsidRDefault="002405F6">
            <w:pPr>
              <w:pStyle w:val="TableParagraph"/>
              <w:rPr>
                <w:i/>
                <w:sz w:val="18"/>
              </w:rPr>
            </w:pPr>
          </w:p>
          <w:p w:rsidR="002405F6" w:rsidRDefault="00D84BF1">
            <w:pPr>
              <w:pStyle w:val="TableParagraph"/>
              <w:spacing w:before="120"/>
              <w:ind w:left="928" w:right="918"/>
              <w:jc w:val="center"/>
              <w:rPr>
                <w:rFonts w:ascii="Helvetica"/>
                <w:sz w:val="16"/>
              </w:rPr>
            </w:pPr>
            <w:r>
              <w:rPr>
                <w:rFonts w:ascii="Helvetica"/>
                <w:color w:val="231F20"/>
                <w:sz w:val="16"/>
              </w:rPr>
              <w:t>Process</w:t>
            </w:r>
          </w:p>
        </w:tc>
        <w:tc>
          <w:tcPr>
            <w:tcW w:w="3532" w:type="dxa"/>
            <w:tcBorders>
              <w:top w:val="single" w:sz="4" w:space="0" w:color="008CA7"/>
              <w:left w:val="single" w:sz="4" w:space="0" w:color="008CA7"/>
              <w:bottom w:val="single" w:sz="4" w:space="0" w:color="008CA7"/>
              <w:right w:val="single" w:sz="4" w:space="0" w:color="008CA7"/>
            </w:tcBorders>
          </w:tcPr>
          <w:p w:rsidR="002405F6" w:rsidRDefault="00D84BF1">
            <w:pPr>
              <w:pStyle w:val="TableParagraph"/>
              <w:spacing w:before="41" w:line="283" w:lineRule="auto"/>
              <w:ind w:left="80" w:right="170" w:hanging="1"/>
              <w:rPr>
                <w:sz w:val="14"/>
              </w:rPr>
            </w:pPr>
            <w:r>
              <w:rPr>
                <w:b/>
                <w:color w:val="231F20"/>
                <w:sz w:val="14"/>
              </w:rPr>
              <w:t>How you engage students</w:t>
            </w:r>
            <w:r>
              <w:rPr>
                <w:color w:val="231F20"/>
                <w:sz w:val="14"/>
              </w:rPr>
              <w:t>—</w:t>
            </w:r>
            <w:proofErr w:type="gramStart"/>
            <w:r>
              <w:rPr>
                <w:color w:val="231F20"/>
                <w:sz w:val="14"/>
              </w:rPr>
              <w:t>includes</w:t>
            </w:r>
            <w:proofErr w:type="gramEnd"/>
            <w:r>
              <w:rPr>
                <w:color w:val="231F20"/>
                <w:sz w:val="14"/>
              </w:rPr>
              <w:t xml:space="preserve"> grouping strategies, what is done in introducing a task to make it comprehensible, tools that are used, lesson design, and so on. Are different strategies used to ensure all students understand and can participate </w:t>
            </w:r>
            <w:proofErr w:type="gramStart"/>
            <w:r>
              <w:rPr>
                <w:color w:val="231F20"/>
                <w:sz w:val="14"/>
              </w:rPr>
              <w:t>in  the</w:t>
            </w:r>
            <w:proofErr w:type="gramEnd"/>
            <w:r>
              <w:rPr>
                <w:color w:val="231F20"/>
                <w:sz w:val="14"/>
              </w:rPr>
              <w:t xml:space="preserve"> task?</w:t>
            </w:r>
          </w:p>
        </w:tc>
        <w:tc>
          <w:tcPr>
            <w:tcW w:w="4784" w:type="dxa"/>
            <w:tcBorders>
              <w:top w:val="single" w:sz="4" w:space="0" w:color="008CA7"/>
              <w:left w:val="single" w:sz="4" w:space="0" w:color="008CA7"/>
              <w:bottom w:val="single" w:sz="4" w:space="0" w:color="008CA7"/>
              <w:right w:val="single" w:sz="4" w:space="0" w:color="008CA7"/>
            </w:tcBorders>
          </w:tcPr>
          <w:p w:rsidR="002405F6" w:rsidRDefault="002405F6">
            <w:pPr>
              <w:pStyle w:val="TableParagraph"/>
              <w:rPr>
                <w:rFonts w:ascii="Times"/>
                <w:sz w:val="12"/>
              </w:rPr>
            </w:pPr>
          </w:p>
        </w:tc>
      </w:tr>
      <w:tr w:rsidR="002405F6">
        <w:trPr>
          <w:trHeight w:val="3510"/>
        </w:trPr>
        <w:tc>
          <w:tcPr>
            <w:tcW w:w="2475" w:type="dxa"/>
            <w:tcBorders>
              <w:top w:val="single" w:sz="4" w:space="0" w:color="008CA7"/>
              <w:left w:val="single" w:sz="4" w:space="0" w:color="008CA7"/>
              <w:bottom w:val="single" w:sz="4" w:space="0" w:color="008CA7"/>
              <w:right w:val="single" w:sz="4" w:space="0" w:color="008CA7"/>
            </w:tcBorders>
          </w:tcPr>
          <w:p w:rsidR="002405F6" w:rsidRDefault="002405F6">
            <w:pPr>
              <w:pStyle w:val="TableParagraph"/>
              <w:rPr>
                <w:i/>
                <w:sz w:val="18"/>
              </w:rPr>
            </w:pPr>
          </w:p>
          <w:p w:rsidR="002405F6" w:rsidRDefault="002405F6">
            <w:pPr>
              <w:pStyle w:val="TableParagraph"/>
              <w:rPr>
                <w:i/>
                <w:sz w:val="18"/>
              </w:rPr>
            </w:pPr>
          </w:p>
          <w:p w:rsidR="002405F6" w:rsidRDefault="002405F6">
            <w:pPr>
              <w:pStyle w:val="TableParagraph"/>
              <w:rPr>
                <w:i/>
                <w:sz w:val="18"/>
              </w:rPr>
            </w:pPr>
          </w:p>
          <w:p w:rsidR="002405F6" w:rsidRDefault="00D84BF1">
            <w:pPr>
              <w:pStyle w:val="TableParagraph"/>
              <w:spacing w:before="120"/>
              <w:ind w:left="927" w:right="918"/>
              <w:jc w:val="center"/>
              <w:rPr>
                <w:rFonts w:ascii="Helvetica"/>
                <w:sz w:val="16"/>
              </w:rPr>
            </w:pPr>
            <w:r>
              <w:rPr>
                <w:rFonts w:ascii="Helvetica"/>
                <w:color w:val="231F20"/>
                <w:sz w:val="16"/>
              </w:rPr>
              <w:t>Product</w:t>
            </w:r>
          </w:p>
        </w:tc>
        <w:tc>
          <w:tcPr>
            <w:tcW w:w="3532" w:type="dxa"/>
            <w:tcBorders>
              <w:top w:val="single" w:sz="4" w:space="0" w:color="008CA7"/>
              <w:left w:val="single" w:sz="4" w:space="0" w:color="008CA7"/>
              <w:bottom w:val="single" w:sz="4" w:space="0" w:color="008CA7"/>
              <w:right w:val="single" w:sz="4" w:space="0" w:color="008CA7"/>
            </w:tcBorders>
          </w:tcPr>
          <w:p w:rsidR="002405F6" w:rsidRDefault="00D84BF1">
            <w:pPr>
              <w:pStyle w:val="TableParagraph"/>
              <w:spacing w:before="41" w:line="283" w:lineRule="auto"/>
              <w:ind w:left="80" w:right="192"/>
              <w:rPr>
                <w:sz w:val="14"/>
              </w:rPr>
            </w:pPr>
            <w:r>
              <w:rPr>
                <w:b/>
                <w:color w:val="231F20"/>
                <w:sz w:val="14"/>
              </w:rPr>
              <w:t>How students will demonstrate what they have learned</w:t>
            </w:r>
            <w:r>
              <w:rPr>
                <w:color w:val="231F20"/>
                <w:sz w:val="14"/>
              </w:rPr>
              <w:t xml:space="preserve">—includes what students do during the lesson (record in a journal, explain to a peer, create a graph) and upon completion of the lesson. Are choices </w:t>
            </w:r>
            <w:r>
              <w:rPr>
                <w:color w:val="231F20"/>
                <w:spacing w:val="1"/>
                <w:sz w:val="14"/>
              </w:rPr>
              <w:t xml:space="preserve">offered </w:t>
            </w:r>
            <w:r>
              <w:rPr>
                <w:color w:val="231F20"/>
                <w:sz w:val="14"/>
              </w:rPr>
              <w:t>or different ways</w:t>
            </w:r>
            <w:r>
              <w:rPr>
                <w:color w:val="231F20"/>
                <w:spacing w:val="5"/>
                <w:sz w:val="14"/>
              </w:rPr>
              <w:t xml:space="preserve"> </w:t>
            </w:r>
            <w:r>
              <w:rPr>
                <w:color w:val="231F20"/>
                <w:sz w:val="14"/>
              </w:rPr>
              <w:t>encouraged?</w:t>
            </w:r>
          </w:p>
        </w:tc>
        <w:tc>
          <w:tcPr>
            <w:tcW w:w="4784" w:type="dxa"/>
            <w:tcBorders>
              <w:top w:val="single" w:sz="4" w:space="0" w:color="008CA7"/>
              <w:left w:val="single" w:sz="4" w:space="0" w:color="008CA7"/>
              <w:bottom w:val="single" w:sz="4" w:space="0" w:color="008CA7"/>
              <w:right w:val="single" w:sz="4" w:space="0" w:color="008CA7"/>
            </w:tcBorders>
          </w:tcPr>
          <w:p w:rsidR="002405F6" w:rsidRDefault="002405F6">
            <w:pPr>
              <w:pStyle w:val="TableParagraph"/>
              <w:rPr>
                <w:rFonts w:ascii="Times"/>
                <w:sz w:val="12"/>
              </w:rPr>
            </w:pPr>
          </w:p>
        </w:tc>
      </w:tr>
    </w:tbl>
    <w:p w:rsidR="002405F6" w:rsidRDefault="000765EF">
      <w:pPr>
        <w:spacing w:before="49" w:line="264" w:lineRule="auto"/>
        <w:ind w:left="100" w:right="315"/>
        <w:rPr>
          <w:i/>
          <w:sz w:val="12"/>
        </w:rPr>
      </w:pPr>
      <w:r>
        <w:pict>
          <v:group id="_x0000_s1026" style="position:absolute;left:0;text-align:left;margin-left:66.6pt;margin-top:-172.25pt;width:63.15pt;height:58.5pt;z-index:-3376;mso-position-horizontal-relative:page;mso-position-vertical-relative:text" coordorigin="1332,-3445" coordsize="1263,1170">
            <v:shape id="_x0000_s1028" style="position:absolute;left:1339;top:-3438;width:1249;height:1155" coordorigin="1339,-3438" coordsize="1249,1155" path="m1963,-3438r-624,1155l2587,-2283,1963,-3438xe" fillcolor="#bcbec0" stroked="f">
              <v:path arrowok="t"/>
            </v:shape>
            <v:shape id="_x0000_s1027" style="position:absolute;left:1339;top:-3438;width:1248;height:1155" coordorigin="1339,-3438" coordsize="1248,1155" path="m1339,-2283r624,-1155l2587,-2283r-1248,xe" filled="f" strokecolor="#231f20" strokeweight=".26494mm">
              <v:path arrowok="t"/>
            </v:shape>
            <w10:wrap anchorx="page"/>
          </v:group>
        </w:pict>
      </w:r>
      <w:r w:rsidR="00D84BF1">
        <w:rPr>
          <w:i/>
          <w:color w:val="231F20"/>
          <w:sz w:val="12"/>
        </w:rPr>
        <w:t xml:space="preserve">Previously published by Bay-Williams, J., </w:t>
      </w:r>
      <w:proofErr w:type="spellStart"/>
      <w:r w:rsidR="00D84BF1">
        <w:rPr>
          <w:i/>
          <w:color w:val="231F20"/>
          <w:sz w:val="12"/>
        </w:rPr>
        <w:t>McGatha</w:t>
      </w:r>
      <w:proofErr w:type="spellEnd"/>
      <w:r w:rsidR="00D84BF1">
        <w:rPr>
          <w:i/>
          <w:color w:val="231F20"/>
          <w:sz w:val="12"/>
        </w:rPr>
        <w:t xml:space="preserve">, M., </w:t>
      </w:r>
      <w:proofErr w:type="spellStart"/>
      <w:r w:rsidR="00D84BF1">
        <w:rPr>
          <w:i/>
          <w:color w:val="231F20"/>
          <w:sz w:val="12"/>
        </w:rPr>
        <w:t>Kobett</w:t>
      </w:r>
      <w:proofErr w:type="spellEnd"/>
      <w:r w:rsidR="00D84BF1">
        <w:rPr>
          <w:i/>
          <w:color w:val="231F20"/>
          <w:sz w:val="12"/>
        </w:rPr>
        <w:t xml:space="preserve">, B., and Wray, J. (2014). </w:t>
      </w:r>
      <w:r w:rsidR="00D84BF1">
        <w:rPr>
          <w:color w:val="231F20"/>
          <w:sz w:val="12"/>
        </w:rPr>
        <w:t>Mathematics Coaching: Resources and Tools for Coaches and Leaders, K–12</w:t>
      </w:r>
      <w:r w:rsidR="00D84BF1">
        <w:rPr>
          <w:i/>
          <w:color w:val="231F20"/>
          <w:sz w:val="12"/>
        </w:rPr>
        <w:t>. New York, NY: Pearson Education, Inc.</w:t>
      </w:r>
    </w:p>
    <w:p w:rsidR="002405F6" w:rsidRDefault="002405F6">
      <w:pPr>
        <w:spacing w:before="9"/>
        <w:rPr>
          <w:i/>
          <w:sz w:val="10"/>
        </w:rPr>
      </w:pPr>
    </w:p>
    <w:p w:rsidR="002405F6" w:rsidRDefault="00D84BF1">
      <w:pPr>
        <w:spacing w:before="100" w:line="264" w:lineRule="auto"/>
        <w:ind w:left="100" w:right="315"/>
        <w:rPr>
          <w:sz w:val="12"/>
        </w:rPr>
      </w:pP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Corwi</w:t>
      </w:r>
      <w:hyperlink r:id="rId5">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2405F6">
      <w:type w:val="continuous"/>
      <w:pgSz w:w="12240" w:h="15840"/>
      <w:pgMar w:top="9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Verdana-BoldItalic">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405F6"/>
    <w:rsid w:val="000765EF"/>
    <w:rsid w:val="002405F6"/>
    <w:rsid w:val="00D84B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w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3</cp:revision>
  <dcterms:created xsi:type="dcterms:W3CDTF">2018-04-06T16:44:00Z</dcterms:created>
  <dcterms:modified xsi:type="dcterms:W3CDTF">2018-04-10T16:38:00Z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Adobe InDesign CC 2017 (Macintosh)</vt:lpwstr>
  </property>
  <property fmtid="{D5CDD505-2E9C-101B-9397-08002B2CF9AE}" pid="4" name="LastSaved">
    <vt:filetime>2018-04-06T00:00:00Z</vt:filetime>
  </property>
</Properties>
</file>