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88" w:rsidRDefault="00686C3C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192;width:511;height:511" coordorigin="105,193" coordsize="511,511" o:spt="100" adj="0,,0" path="m140,193r-25,l105,203r,484l107,692r9,9l121,703r484,l615,693r,-25l605,658r-455,l150,203,140,193xm605,658r-455,l605,658r,xe" stroked="f">
              <v:stroke joinstyle="round"/>
              <v:formulas/>
              <v:path arrowok="t" o:connecttype="segments"/>
            </v:shape>
            <v:line id="_x0000_s1032" style="position:absolute" from="234,423" to="234,628" strokecolor="white" strokeweight="1.86303mm"/>
            <v:line id="_x0000_s1031" style="position:absolute" from="360,268" to="360,628" strokecolor="white" strokeweight="1.86336mm"/>
            <v:line id="_x0000_s1030" style="position:absolute" from="486,358" to="486,62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3;width:737;height:757" filled="f" stroked="f">
              <v:textbox inset="0,0,0,0">
                <w:txbxContent>
                  <w:p w:rsidR="00F94688" w:rsidRPr="00686C3C" w:rsidRDefault="00A83138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686C3C">
                      <w:rPr>
                        <w:color w:val="231F20"/>
                        <w:sz w:val="40"/>
                        <w:szCs w:val="40"/>
                      </w:rPr>
                      <w:t>6.7</w:t>
                    </w:r>
                  </w:p>
                </w:txbxContent>
              </v:textbox>
            </v:shape>
            <v:shape id="_x0000_s1027" type="#_x0000_t202" style="position:absolute;left:1735;top:361;width:4762;height:292" filled="f" stroked="f">
              <v:textbox inset="0,0,0,0">
                <w:txbxContent>
                  <w:p w:rsidR="00F94688" w:rsidRDefault="00A83138" w:rsidP="00686C3C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Observing Students’</w:t>
                    </w:r>
                    <w:r>
                      <w:rPr>
                        <w:color w:val="231F20"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Representations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4688" w:rsidRDefault="00F94688">
      <w:pPr>
        <w:pStyle w:val="BodyText"/>
        <w:spacing w:before="7"/>
        <w:rPr>
          <w:rFonts w:ascii="Times"/>
          <w:i w:val="0"/>
          <w:sz w:val="7"/>
        </w:rPr>
      </w:pPr>
    </w:p>
    <w:p w:rsidR="00F94688" w:rsidRDefault="00A83138">
      <w:pPr>
        <w:spacing w:before="100" w:line="302" w:lineRule="auto"/>
        <w:ind w:left="100" w:right="620"/>
        <w:jc w:val="both"/>
        <w:rPr>
          <w:sz w:val="17"/>
        </w:rPr>
      </w:pPr>
      <w:r>
        <w:rPr>
          <w:color w:val="231F20"/>
          <w:sz w:val="17"/>
        </w:rPr>
        <w:t xml:space="preserve">Instructions: First, record all the representations you anticipate the students will use during your lesson. Then, as you teach, </w:t>
      </w:r>
      <w:proofErr w:type="gramStart"/>
      <w:r>
        <w:rPr>
          <w:color w:val="231F20"/>
          <w:sz w:val="17"/>
        </w:rPr>
        <w:t>record using</w:t>
      </w:r>
      <w:proofErr w:type="gramEnd"/>
      <w:r>
        <w:rPr>
          <w:color w:val="231F20"/>
          <w:sz w:val="17"/>
        </w:rPr>
        <w:t xml:space="preserve"> quick drawings or pictures of students’ representations. Finally, s</w:t>
      </w:r>
      <w:bookmarkStart w:id="0" w:name="_GoBack"/>
      <w:bookmarkEnd w:id="0"/>
      <w:r>
        <w:rPr>
          <w:color w:val="231F20"/>
          <w:sz w:val="17"/>
        </w:rPr>
        <w:t>elect the students who will share representations with other students as a way to elicit and provide feedback to peers.</w:t>
      </w:r>
    </w:p>
    <w:p w:rsidR="00F94688" w:rsidRDefault="00F94688">
      <w:pPr>
        <w:rPr>
          <w:sz w:val="20"/>
        </w:rPr>
      </w:pPr>
    </w:p>
    <w:p w:rsidR="00F94688" w:rsidRDefault="00F94688">
      <w:pPr>
        <w:spacing w:before="9"/>
        <w:rPr>
          <w:sz w:val="25"/>
        </w:rPr>
      </w:pPr>
    </w:p>
    <w:p w:rsidR="00F94688" w:rsidRDefault="00A83138">
      <w:pPr>
        <w:spacing w:before="1"/>
        <w:ind w:left="2948"/>
        <w:rPr>
          <w:rFonts w:ascii="Plantin" w:hAnsi="Plantin"/>
          <w:b/>
          <w:sz w:val="21"/>
        </w:rPr>
      </w:pPr>
      <w:r>
        <w:rPr>
          <w:rFonts w:ascii="Plantin" w:hAnsi="Plantin"/>
          <w:b/>
          <w:color w:val="231F20"/>
          <w:sz w:val="21"/>
        </w:rPr>
        <w:t>Classroom: Observation—Student Representations</w:t>
      </w:r>
    </w:p>
    <w:p w:rsidR="00F94688" w:rsidRDefault="00F94688">
      <w:pPr>
        <w:pStyle w:val="BodyText"/>
        <w:spacing w:before="8"/>
        <w:rPr>
          <w:rFonts w:ascii="Plantin"/>
          <w:b/>
          <w:i w:val="0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2563"/>
        <w:gridCol w:w="2563"/>
      </w:tblGrid>
      <w:tr w:rsidR="00F94688">
        <w:trPr>
          <w:trHeight w:val="1590"/>
        </w:trPr>
        <w:tc>
          <w:tcPr>
            <w:tcW w:w="566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F94688" w:rsidRDefault="00F94688">
            <w:pPr>
              <w:pStyle w:val="TableParagraph"/>
              <w:rPr>
                <w:rFonts w:ascii="Plantin"/>
                <w:b/>
                <w:sz w:val="20"/>
              </w:rPr>
            </w:pPr>
          </w:p>
          <w:p w:rsidR="00F94688" w:rsidRDefault="00F94688">
            <w:pPr>
              <w:pStyle w:val="TableParagraph"/>
              <w:rPr>
                <w:rFonts w:ascii="Plantin"/>
                <w:b/>
                <w:sz w:val="20"/>
              </w:rPr>
            </w:pPr>
          </w:p>
          <w:p w:rsidR="00F94688" w:rsidRDefault="00F94688">
            <w:pPr>
              <w:pStyle w:val="TableParagraph"/>
              <w:rPr>
                <w:rFonts w:ascii="Plantin"/>
                <w:b/>
                <w:sz w:val="20"/>
              </w:rPr>
            </w:pPr>
          </w:p>
          <w:p w:rsidR="00F94688" w:rsidRDefault="00A83138">
            <w:pPr>
              <w:pStyle w:val="TableParagraph"/>
              <w:spacing w:before="107"/>
              <w:ind w:left="451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Student Representations (Anticipated/Observed)</w:t>
            </w:r>
          </w:p>
        </w:tc>
        <w:tc>
          <w:tcPr>
            <w:tcW w:w="2563" w:type="dxa"/>
            <w:tcBorders>
              <w:top w:val="nil"/>
              <w:bottom w:val="nil"/>
            </w:tcBorders>
            <w:shd w:val="clear" w:color="auto" w:fill="008CA7"/>
          </w:tcPr>
          <w:p w:rsidR="00F94688" w:rsidRDefault="00F94688">
            <w:pPr>
              <w:pStyle w:val="TableParagraph"/>
              <w:rPr>
                <w:rFonts w:ascii="Plantin"/>
                <w:b/>
                <w:sz w:val="20"/>
              </w:rPr>
            </w:pPr>
          </w:p>
          <w:p w:rsidR="00F94688" w:rsidRDefault="00F94688">
            <w:pPr>
              <w:pStyle w:val="TableParagraph"/>
              <w:rPr>
                <w:rFonts w:ascii="Plantin"/>
                <w:b/>
                <w:sz w:val="20"/>
              </w:rPr>
            </w:pPr>
          </w:p>
          <w:p w:rsidR="00F94688" w:rsidRDefault="00A83138">
            <w:pPr>
              <w:pStyle w:val="TableParagraph"/>
              <w:spacing w:before="171" w:line="302" w:lineRule="auto"/>
              <w:ind w:left="484" w:hanging="251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Who Is Using Specific Representations</w:t>
            </w:r>
          </w:p>
        </w:tc>
        <w:tc>
          <w:tcPr>
            <w:tcW w:w="2563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F94688" w:rsidRDefault="00A83138">
            <w:pPr>
              <w:pStyle w:val="TableParagraph"/>
              <w:spacing w:before="39" w:line="302" w:lineRule="auto"/>
              <w:ind w:left="449" w:right="443"/>
              <w:jc w:val="center"/>
              <w:rPr>
                <w:rFonts w:ascii="Verdana"/>
                <w:b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 xml:space="preserve">Who I Will Select to Share Their Representations </w:t>
            </w:r>
            <w:r>
              <w:rPr>
                <w:rFonts w:ascii="Verdana"/>
                <w:b/>
                <w:color w:val="FFFFFF"/>
                <w:sz w:val="17"/>
              </w:rPr>
              <w:t>(Order of</w:t>
            </w:r>
          </w:p>
          <w:p w:rsidR="00F94688" w:rsidRDefault="00A83138">
            <w:pPr>
              <w:pStyle w:val="TableParagraph"/>
              <w:spacing w:line="205" w:lineRule="exact"/>
              <w:ind w:left="93" w:right="90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color w:val="FFFFFF"/>
                <w:sz w:val="17"/>
              </w:rPr>
              <w:t>Presentations—1st, 2nd,</w:t>
            </w:r>
          </w:p>
          <w:p w:rsidR="00F94688" w:rsidRDefault="00A83138">
            <w:pPr>
              <w:pStyle w:val="TableParagraph"/>
              <w:spacing w:before="53"/>
              <w:ind w:left="437" w:right="443"/>
              <w:jc w:val="center"/>
              <w:rPr>
                <w:rFonts w:ascii="Verdana"/>
                <w:b/>
                <w:sz w:val="17"/>
              </w:rPr>
            </w:pPr>
            <w:proofErr w:type="gramStart"/>
            <w:r>
              <w:rPr>
                <w:rFonts w:ascii="Verdana"/>
                <w:b/>
                <w:color w:val="FFFFFF"/>
                <w:sz w:val="17"/>
              </w:rPr>
              <w:t>etc</w:t>
            </w:r>
            <w:proofErr w:type="gramEnd"/>
            <w:r>
              <w:rPr>
                <w:rFonts w:ascii="Verdana"/>
                <w:b/>
                <w:color w:val="FFFFFF"/>
                <w:sz w:val="17"/>
              </w:rPr>
              <w:t>.)</w:t>
            </w:r>
          </w:p>
        </w:tc>
      </w:tr>
      <w:tr w:rsidR="00F94688">
        <w:trPr>
          <w:trHeight w:val="1529"/>
        </w:trPr>
        <w:tc>
          <w:tcPr>
            <w:tcW w:w="5665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A83138">
            <w:pPr>
              <w:pStyle w:val="TableParagraph"/>
              <w:spacing w:before="34"/>
              <w:ind w:left="80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color w:val="231F20"/>
                <w:sz w:val="17"/>
              </w:rPr>
              <w:t>Anticipated:</w:t>
            </w:r>
          </w:p>
        </w:tc>
        <w:tc>
          <w:tcPr>
            <w:tcW w:w="2563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F94688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F94688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F94688">
        <w:trPr>
          <w:trHeight w:val="1530"/>
        </w:trPr>
        <w:tc>
          <w:tcPr>
            <w:tcW w:w="56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A83138">
            <w:pPr>
              <w:pStyle w:val="TableParagraph"/>
              <w:spacing w:before="34"/>
              <w:ind w:left="80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color w:val="231F20"/>
                <w:sz w:val="17"/>
              </w:rPr>
              <w:t>Observed:</w:t>
            </w:r>
          </w:p>
        </w:tc>
        <w:tc>
          <w:tcPr>
            <w:tcW w:w="256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F94688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56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F94688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F94688">
        <w:trPr>
          <w:trHeight w:val="1530"/>
        </w:trPr>
        <w:tc>
          <w:tcPr>
            <w:tcW w:w="56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A83138">
            <w:pPr>
              <w:pStyle w:val="TableParagraph"/>
              <w:spacing w:before="34"/>
              <w:ind w:left="80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color w:val="231F20"/>
                <w:sz w:val="17"/>
              </w:rPr>
              <w:t>Observed:</w:t>
            </w:r>
          </w:p>
        </w:tc>
        <w:tc>
          <w:tcPr>
            <w:tcW w:w="256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F94688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56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F94688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F94688">
        <w:trPr>
          <w:trHeight w:val="1530"/>
        </w:trPr>
        <w:tc>
          <w:tcPr>
            <w:tcW w:w="56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A83138">
            <w:pPr>
              <w:pStyle w:val="TableParagraph"/>
              <w:spacing w:before="34"/>
              <w:ind w:left="80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color w:val="231F20"/>
                <w:sz w:val="17"/>
              </w:rPr>
              <w:t>Observed:</w:t>
            </w:r>
          </w:p>
        </w:tc>
        <w:tc>
          <w:tcPr>
            <w:tcW w:w="256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F94688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56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F94688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F94688">
        <w:trPr>
          <w:trHeight w:val="1530"/>
        </w:trPr>
        <w:tc>
          <w:tcPr>
            <w:tcW w:w="566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A83138">
            <w:pPr>
              <w:pStyle w:val="TableParagraph"/>
              <w:spacing w:before="34"/>
              <w:ind w:left="80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color w:val="231F20"/>
                <w:sz w:val="17"/>
              </w:rPr>
              <w:t>Observed:</w:t>
            </w:r>
          </w:p>
        </w:tc>
        <w:tc>
          <w:tcPr>
            <w:tcW w:w="256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F94688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56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94688" w:rsidRDefault="00F94688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F94688" w:rsidRDefault="00A83138">
      <w:pPr>
        <w:pStyle w:val="BodyText"/>
        <w:spacing w:before="59" w:line="295" w:lineRule="auto"/>
        <w:ind w:left="100" w:right="117"/>
        <w:jc w:val="both"/>
      </w:pPr>
      <w:r>
        <w:rPr>
          <w:color w:val="231F20"/>
          <w:spacing w:val="7"/>
        </w:rPr>
        <w:t xml:space="preserve">Source: Adapted </w:t>
      </w:r>
      <w:r>
        <w:rPr>
          <w:color w:val="231F20"/>
          <w:spacing w:val="6"/>
        </w:rPr>
        <w:t xml:space="preserve">from Smith, </w:t>
      </w:r>
      <w:r>
        <w:rPr>
          <w:color w:val="231F20"/>
          <w:spacing w:val="3"/>
        </w:rPr>
        <w:t xml:space="preserve">M. </w:t>
      </w:r>
      <w:r>
        <w:rPr>
          <w:color w:val="231F20"/>
          <w:spacing w:val="5"/>
        </w:rPr>
        <w:t xml:space="preserve">S., and </w:t>
      </w:r>
      <w:r>
        <w:rPr>
          <w:color w:val="231F20"/>
          <w:spacing w:val="6"/>
        </w:rPr>
        <w:t>Stein</w:t>
      </w:r>
      <w:proofErr w:type="gramStart"/>
      <w:r>
        <w:rPr>
          <w:color w:val="231F20"/>
          <w:spacing w:val="6"/>
        </w:rPr>
        <w:t xml:space="preserve">,  </w:t>
      </w:r>
      <w:r>
        <w:rPr>
          <w:color w:val="231F20"/>
          <w:spacing w:val="3"/>
        </w:rPr>
        <w:t>M</w:t>
      </w:r>
      <w:proofErr w:type="gramEnd"/>
      <w:r>
        <w:rPr>
          <w:color w:val="231F20"/>
          <w:spacing w:val="3"/>
        </w:rPr>
        <w:t xml:space="preserve">.  </w:t>
      </w:r>
      <w:r>
        <w:rPr>
          <w:color w:val="231F20"/>
          <w:spacing w:val="5"/>
        </w:rPr>
        <w:t xml:space="preserve">K.  </w:t>
      </w:r>
      <w:r>
        <w:rPr>
          <w:color w:val="231F20"/>
          <w:spacing w:val="2"/>
        </w:rPr>
        <w:t>(2011).</w:t>
      </w:r>
      <w:r>
        <w:rPr>
          <w:color w:val="231F20"/>
          <w:spacing w:val="47"/>
        </w:rPr>
        <w:t xml:space="preserve"> </w:t>
      </w:r>
      <w:proofErr w:type="gramStart"/>
      <w:r>
        <w:rPr>
          <w:color w:val="231F20"/>
          <w:spacing w:val="5"/>
        </w:rPr>
        <w:t xml:space="preserve">Five  </w:t>
      </w:r>
      <w:r>
        <w:rPr>
          <w:color w:val="231F20"/>
          <w:spacing w:val="8"/>
        </w:rPr>
        <w:t>Practices</w:t>
      </w:r>
      <w:proofErr w:type="gramEnd"/>
      <w:r>
        <w:rPr>
          <w:color w:val="231F20"/>
          <w:spacing w:val="8"/>
        </w:rPr>
        <w:t xml:space="preserve">  </w:t>
      </w:r>
      <w:r>
        <w:rPr>
          <w:color w:val="231F20"/>
          <w:spacing w:val="5"/>
        </w:rPr>
        <w:t xml:space="preserve">for  </w:t>
      </w:r>
      <w:r>
        <w:rPr>
          <w:color w:val="231F20"/>
          <w:spacing w:val="8"/>
        </w:rPr>
        <w:t xml:space="preserve">Orchestrating  </w:t>
      </w:r>
      <w:r>
        <w:rPr>
          <w:color w:val="231F20"/>
          <w:spacing w:val="7"/>
        </w:rPr>
        <w:t xml:space="preserve">Productive  </w:t>
      </w:r>
      <w:r>
        <w:rPr>
          <w:color w:val="231F20"/>
          <w:spacing w:val="8"/>
        </w:rPr>
        <w:t xml:space="preserve">Mathematics  Discussions.  </w:t>
      </w:r>
      <w:r>
        <w:rPr>
          <w:color w:val="231F20"/>
          <w:spacing w:val="6"/>
        </w:rPr>
        <w:t>Reston</w:t>
      </w:r>
      <w:proofErr w:type="gramStart"/>
      <w:r>
        <w:rPr>
          <w:color w:val="231F20"/>
          <w:spacing w:val="6"/>
        </w:rPr>
        <w:t xml:space="preserve">,  </w:t>
      </w:r>
      <w:r>
        <w:rPr>
          <w:color w:val="231F20"/>
          <w:spacing w:val="2"/>
        </w:rPr>
        <w:t>VA</w:t>
      </w:r>
      <w:proofErr w:type="gramEnd"/>
      <w:r>
        <w:rPr>
          <w:color w:val="231F20"/>
          <w:spacing w:val="2"/>
        </w:rPr>
        <w:t>: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 xml:space="preserve">National Council of Teachers of Mathematics. </w:t>
      </w:r>
      <w:proofErr w:type="gramStart"/>
      <w:r>
        <w:rPr>
          <w:color w:val="231F20"/>
        </w:rPr>
        <w:t xml:space="preserve">Retrieved from the companion website for The Formative </w:t>
      </w:r>
      <w:r>
        <w:rPr>
          <w:color w:val="231F20"/>
          <w:spacing w:val="-3"/>
        </w:rPr>
        <w:t xml:space="preserve">5: </w:t>
      </w:r>
      <w:r>
        <w:rPr>
          <w:color w:val="231F20"/>
        </w:rPr>
        <w:t xml:space="preserve">Everyday Assessment Techniques for Every Math Classroom by Francis (Skip) Fennell, Beth McCord </w:t>
      </w:r>
      <w:proofErr w:type="spellStart"/>
      <w:r>
        <w:rPr>
          <w:color w:val="231F20"/>
        </w:rPr>
        <w:t>Kobett</w:t>
      </w:r>
      <w:proofErr w:type="spellEnd"/>
      <w:r>
        <w:rPr>
          <w:color w:val="231F20"/>
        </w:rPr>
        <w:t xml:space="preserve">, and Jonathan </w:t>
      </w:r>
      <w:r>
        <w:rPr>
          <w:color w:val="231F20"/>
          <w:spacing w:val="1"/>
        </w:rPr>
        <w:t xml:space="preserve">A. </w:t>
      </w:r>
      <w:r>
        <w:rPr>
          <w:color w:val="231F20"/>
        </w:rPr>
        <w:t>Wray.</w:t>
      </w:r>
      <w:proofErr w:type="gramEnd"/>
      <w:r>
        <w:rPr>
          <w:color w:val="231F20"/>
        </w:rPr>
        <w:t xml:space="preserve"> Thousand Oaks, CA: Corwin, </w:t>
      </w:r>
      <w:hyperlink r:id="rId5">
        <w:r>
          <w:rPr>
            <w:color w:val="231F20"/>
          </w:rPr>
          <w:t xml:space="preserve">www.corwin.com. </w:t>
        </w:r>
      </w:hyperlink>
      <w:r>
        <w:rPr>
          <w:color w:val="231F20"/>
        </w:rPr>
        <w:t>Reproduction authorized only for the local school site or nonprofit organization that purchased 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publication.</w:t>
      </w:r>
    </w:p>
    <w:p w:rsidR="00F94688" w:rsidRDefault="00F94688">
      <w:pPr>
        <w:rPr>
          <w:i/>
          <w:sz w:val="20"/>
        </w:rPr>
      </w:pPr>
    </w:p>
    <w:p w:rsidR="00F94688" w:rsidRDefault="00F94688">
      <w:pPr>
        <w:spacing w:before="5"/>
        <w:rPr>
          <w:i/>
          <w:sz w:val="17"/>
        </w:rPr>
      </w:pPr>
    </w:p>
    <w:p w:rsidR="00F94688" w:rsidRDefault="00A83138">
      <w:pPr>
        <w:spacing w:before="100" w:line="264" w:lineRule="auto"/>
        <w:ind w:left="103" w:right="1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F94688">
      <w:type w:val="continuous"/>
      <w:pgSz w:w="12240" w:h="15840"/>
      <w:pgMar w:top="10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Arial"/>
    <w:charset w:val="00"/>
    <w:family w:val="swiss"/>
    <w:pitch w:val="variable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4688"/>
    <w:rsid w:val="00686C3C"/>
    <w:rsid w:val="00A83138"/>
    <w:rsid w:val="00F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-BoldItalic" w:eastAsia="Verdana-BoldItalic" w:hAnsi="Verdana-BoldItalic" w:cs="Verdana-BoldItal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2018-04-06T16:21:00Z</dcterms:created>
  <dcterms:modified xsi:type="dcterms:W3CDTF">2018-04-10T16:32:00Z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