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62" w:rsidRDefault="00BB6CB4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8.05pt;mso-position-horizontal-relative:char;mso-position-vertical-relative:line" coordorigin=",5" coordsize="10800,961">
            <v:line id="_x0000_s1031" style="position:absolute" from="0,5" to="10800,5" strokecolor="#231f20" strokeweight=".5pt"/>
            <v:shape id="_x0000_s1030" style="position:absolute;left:11;top:60;width:720;height:906" coordorigin="11,60" coordsize="720,906" o:spt="100" adj="0,,0" path="m731,60l11,60r,906l371,862r360,l731,60xm731,862r-360,l731,966r,-104xe" fillcolor="#3aaec1" stroked="f">
              <v:stroke joinstyle="round"/>
              <v:formulas/>
              <v:path arrowok="t" o:connecttype="segments"/>
            </v:shape>
            <v:shape id="_x0000_s1029" style="position:absolute;left:183;top:205;width:376;height:536" coordorigin="183,205" coordsize="376,536" o:spt="100" adj="0,,0" path="m371,205r-73,14l238,258r-40,57l183,385r3,34l194,446r10,23l215,489r9,16l232,521r7,19l243,563r,8l246,578r3,6l246,591r-1,6l245,613r1,7l250,627r-4,6l245,641r-1,8l247,664r7,12l264,687r13,7l286,713r14,14l319,737r22,4l402,741r22,-4l442,727r14,-14l459,707r-118,l329,705r-10,-6l312,689r-2,-11l487,678r2,-2l495,664r,-1l286,663r-7,-6l279,641r7,-7l496,634r,-1l492,627r4,-7l496,619r-210,l279,613r,-16l286,590r210,l493,584r4,-6l498,575r-213,l278,569r,-8l265,508,245,470,226,434r-8,-49l230,328r33,-47l312,250r59,-11l474,239,444,219,371,205xm487,678r-55,l430,689r-7,10l414,705r-12,2l459,707r6,-13l478,687r9,-9xm496,634r-40,l463,641r,16l456,663r39,l498,649r,-8l496,634xm496,590r-40,l463,597r,16l456,619r40,l498,613r,-16l496,591r,-1xm474,239r-103,l431,250r48,31l512,328r12,57l516,434r-18,36l478,508r-13,53l465,569r-7,6l498,575r1,-4l499,563r5,-23l510,521r8,-16l527,489r11,-20l549,446r7,-27l559,385,544,315,504,258,474,239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3;width:964;height:757" filled="f" stroked="f">
              <v:textbox inset="0,0,0,0">
                <w:txbxContent>
                  <w:p w:rsidR="00C93462" w:rsidRPr="00BB6CB4" w:rsidRDefault="00A02B0B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BB6CB4">
                      <w:rPr>
                        <w:color w:val="231F20"/>
                        <w:sz w:val="40"/>
                        <w:szCs w:val="40"/>
                      </w:rPr>
                      <w:t>6.10</w:t>
                    </w:r>
                  </w:p>
                </w:txbxContent>
              </v:textbox>
            </v:shape>
            <v:shape id="_x0000_s1027" type="#_x0000_t202" style="position:absolute;left:1855;top:361;width:5329;height:292" filled="f" stroked="f">
              <v:textbox inset="0,0,0,0">
                <w:txbxContent>
                  <w:p w:rsidR="00C93462" w:rsidRDefault="00A02B0B" w:rsidP="00BB6CB4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Using Rubrics for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Formative </w:t>
                    </w:r>
                    <w:r>
                      <w:rPr>
                        <w:color w:val="231F20"/>
                        <w:sz w:val="24"/>
                      </w:rPr>
                      <w:t>Assessment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3462" w:rsidRDefault="00C93462">
      <w:pPr>
        <w:pStyle w:val="BodyText"/>
        <w:spacing w:before="1"/>
        <w:rPr>
          <w:rFonts w:ascii="Times"/>
          <w:i w:val="0"/>
          <w:sz w:val="7"/>
        </w:rPr>
      </w:pPr>
    </w:p>
    <w:p w:rsidR="00C93462" w:rsidRDefault="00A02B0B">
      <w:pPr>
        <w:spacing w:before="100" w:line="302" w:lineRule="auto"/>
        <w:ind w:left="100" w:right="1"/>
        <w:rPr>
          <w:sz w:val="17"/>
        </w:rPr>
      </w:pPr>
      <w:r>
        <w:rPr>
          <w:color w:val="231F20"/>
          <w:sz w:val="17"/>
        </w:rPr>
        <w:t>Instructions: Use this tool to assess and revise language used in a rubric after having used it in order to make it more descriptive and useful to students (and y</w:t>
      </w:r>
      <w:bookmarkStart w:id="0" w:name="_GoBack"/>
      <w:bookmarkEnd w:id="0"/>
      <w:r>
        <w:rPr>
          <w:color w:val="231F20"/>
          <w:sz w:val="17"/>
        </w:rPr>
        <w:t>ourself).</w:t>
      </w:r>
    </w:p>
    <w:p w:rsidR="00C93462" w:rsidRDefault="00C93462">
      <w:pPr>
        <w:spacing w:before="3" w:after="1"/>
      </w:pPr>
    </w:p>
    <w:tbl>
      <w:tblPr>
        <w:tblW w:w="0" w:type="auto"/>
        <w:tblInd w:w="105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5394"/>
      </w:tblGrid>
      <w:tr w:rsidR="00C93462">
        <w:trPr>
          <w:trHeight w:val="280"/>
        </w:trPr>
        <w:tc>
          <w:tcPr>
            <w:tcW w:w="10788" w:type="dxa"/>
            <w:gridSpan w:val="2"/>
          </w:tcPr>
          <w:p w:rsidR="00C93462" w:rsidRDefault="00A02B0B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Lesson learning target(s):</w:t>
            </w:r>
          </w:p>
        </w:tc>
      </w:tr>
      <w:tr w:rsidR="00C93462">
        <w:trPr>
          <w:trHeight w:val="279"/>
        </w:trPr>
        <w:tc>
          <w:tcPr>
            <w:tcW w:w="10788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8CA7"/>
          </w:tcPr>
          <w:p w:rsidR="00C93462" w:rsidRDefault="00A02B0B">
            <w:pPr>
              <w:pStyle w:val="TableParagraph"/>
              <w:spacing w:before="33"/>
              <w:ind w:left="4252" w:right="4243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Task-Specific Language</w:t>
            </w:r>
          </w:p>
        </w:tc>
      </w:tr>
      <w:tr w:rsidR="00C93462">
        <w:trPr>
          <w:trHeight w:val="280"/>
        </w:trPr>
        <w:tc>
          <w:tcPr>
            <w:tcW w:w="539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8CA7"/>
          </w:tcPr>
          <w:p w:rsidR="00C93462" w:rsidRDefault="00A02B0B">
            <w:pPr>
              <w:pStyle w:val="TableParagraph"/>
              <w:ind w:left="1809" w:right="1795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Original Language</w:t>
            </w:r>
          </w:p>
        </w:tc>
        <w:tc>
          <w:tcPr>
            <w:tcW w:w="539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8CA7"/>
          </w:tcPr>
          <w:p w:rsidR="00C93462" w:rsidRDefault="00A02B0B">
            <w:pPr>
              <w:pStyle w:val="TableParagraph"/>
              <w:ind w:left="1224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Revised Language (If Needed)</w:t>
            </w:r>
          </w:p>
        </w:tc>
      </w:tr>
      <w:tr w:rsidR="00C93462">
        <w:trPr>
          <w:trHeight w:val="2269"/>
        </w:trPr>
        <w:tc>
          <w:tcPr>
            <w:tcW w:w="5394" w:type="dxa"/>
          </w:tcPr>
          <w:p w:rsidR="00C93462" w:rsidRDefault="00A02B0B">
            <w:pPr>
              <w:pStyle w:val="TableParagraph"/>
              <w:spacing w:before="33"/>
              <w:rPr>
                <w:sz w:val="17"/>
              </w:rPr>
            </w:pPr>
            <w:r>
              <w:rPr>
                <w:color w:val="231F20"/>
                <w:sz w:val="17"/>
              </w:rPr>
              <w:t>4: Excellent</w:t>
            </w:r>
          </w:p>
        </w:tc>
        <w:tc>
          <w:tcPr>
            <w:tcW w:w="5394" w:type="dxa"/>
          </w:tcPr>
          <w:p w:rsidR="00C93462" w:rsidRDefault="00A02B0B">
            <w:pPr>
              <w:pStyle w:val="TableParagraph"/>
              <w:spacing w:before="33"/>
              <w:rPr>
                <w:sz w:val="17"/>
              </w:rPr>
            </w:pPr>
            <w:r>
              <w:rPr>
                <w:color w:val="231F20"/>
                <w:sz w:val="17"/>
              </w:rPr>
              <w:t>4: Excellent</w:t>
            </w:r>
          </w:p>
        </w:tc>
      </w:tr>
      <w:tr w:rsidR="00C93462">
        <w:trPr>
          <w:trHeight w:val="2270"/>
        </w:trPr>
        <w:tc>
          <w:tcPr>
            <w:tcW w:w="5394" w:type="dxa"/>
          </w:tcPr>
          <w:p w:rsidR="00C93462" w:rsidRDefault="00A02B0B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3: Proficient</w:t>
            </w:r>
          </w:p>
        </w:tc>
        <w:tc>
          <w:tcPr>
            <w:tcW w:w="5394" w:type="dxa"/>
          </w:tcPr>
          <w:p w:rsidR="00C93462" w:rsidRDefault="00A02B0B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3: Proficient</w:t>
            </w:r>
          </w:p>
        </w:tc>
      </w:tr>
      <w:tr w:rsidR="00C93462">
        <w:trPr>
          <w:trHeight w:val="2270"/>
        </w:trPr>
        <w:tc>
          <w:tcPr>
            <w:tcW w:w="5394" w:type="dxa"/>
          </w:tcPr>
          <w:p w:rsidR="00C93462" w:rsidRDefault="00A02B0B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3: Marginal</w:t>
            </w:r>
          </w:p>
        </w:tc>
        <w:tc>
          <w:tcPr>
            <w:tcW w:w="5394" w:type="dxa"/>
          </w:tcPr>
          <w:p w:rsidR="00C93462" w:rsidRDefault="00A02B0B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2: Marginal</w:t>
            </w:r>
          </w:p>
        </w:tc>
      </w:tr>
      <w:tr w:rsidR="00C93462">
        <w:trPr>
          <w:trHeight w:val="2269"/>
        </w:trPr>
        <w:tc>
          <w:tcPr>
            <w:tcW w:w="5394" w:type="dxa"/>
          </w:tcPr>
          <w:p w:rsidR="00C93462" w:rsidRDefault="00A02B0B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1: Unsatisfactory</w:t>
            </w:r>
          </w:p>
        </w:tc>
        <w:tc>
          <w:tcPr>
            <w:tcW w:w="5394" w:type="dxa"/>
          </w:tcPr>
          <w:p w:rsidR="00C93462" w:rsidRDefault="00A02B0B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1: Unsatisfactory</w:t>
            </w:r>
          </w:p>
        </w:tc>
      </w:tr>
      <w:tr w:rsidR="00C93462">
        <w:trPr>
          <w:trHeight w:val="885"/>
        </w:trPr>
        <w:tc>
          <w:tcPr>
            <w:tcW w:w="10788" w:type="dxa"/>
            <w:gridSpan w:val="2"/>
          </w:tcPr>
          <w:p w:rsidR="00C93462" w:rsidRDefault="00A02B0B">
            <w:pPr>
              <w:pStyle w:val="TableParagraph"/>
              <w:spacing w:before="83"/>
              <w:ind w:left="34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What aspects of the rubric seemed most helpful to students?</w:t>
            </w:r>
          </w:p>
          <w:p w:rsidR="00C93462" w:rsidRDefault="00A02B0B"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In what ways did the rubric help you assess students’ understanding of the learning target?</w:t>
            </w:r>
          </w:p>
          <w:p w:rsidR="00C93462" w:rsidRDefault="00A02B0B">
            <w:pPr>
              <w:pStyle w:val="TableParagraph"/>
              <w:spacing w:before="26"/>
              <w:ind w:left="34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What patterns are you noticing in students’ understandings or misconceptions?</w:t>
            </w:r>
          </w:p>
        </w:tc>
      </w:tr>
    </w:tbl>
    <w:p w:rsidR="00C93462" w:rsidRDefault="00A02B0B">
      <w:pPr>
        <w:pStyle w:val="BodyText"/>
        <w:spacing w:before="59" w:line="295" w:lineRule="auto"/>
        <w:ind w:left="100" w:right="1"/>
      </w:pPr>
      <w:r>
        <w:rPr>
          <w:color w:val="231F20"/>
        </w:rPr>
        <w:t xml:space="preserve">Previously published by Bay-Williams, J., </w:t>
      </w:r>
      <w:proofErr w:type="spellStart"/>
      <w:r>
        <w:rPr>
          <w:color w:val="231F20"/>
        </w:rPr>
        <w:t>McGatha</w:t>
      </w:r>
      <w:proofErr w:type="spellEnd"/>
      <w:r>
        <w:rPr>
          <w:color w:val="231F20"/>
        </w:rPr>
        <w:t xml:space="preserve">, M., </w:t>
      </w:r>
      <w:proofErr w:type="spellStart"/>
      <w:r>
        <w:rPr>
          <w:color w:val="231F20"/>
        </w:rPr>
        <w:t>Kobett</w:t>
      </w:r>
      <w:proofErr w:type="spellEnd"/>
      <w:r>
        <w:rPr>
          <w:color w:val="231F20"/>
        </w:rPr>
        <w:t xml:space="preserve">, B., and </w:t>
      </w:r>
      <w:r>
        <w:rPr>
          <w:color w:val="231F20"/>
          <w:spacing w:val="-3"/>
        </w:rPr>
        <w:t xml:space="preserve">Wray, </w:t>
      </w:r>
      <w:r>
        <w:rPr>
          <w:color w:val="231F20"/>
        </w:rPr>
        <w:t xml:space="preserve">J. </w:t>
      </w:r>
      <w:r>
        <w:rPr>
          <w:color w:val="231F20"/>
          <w:spacing w:val="-4"/>
        </w:rPr>
        <w:t xml:space="preserve">(2014). </w:t>
      </w:r>
      <w:r>
        <w:rPr>
          <w:color w:val="231F20"/>
        </w:rPr>
        <w:t>Mathematics Coaching: Resources and Tools for Coaches and Leaders,</w:t>
      </w:r>
      <w:r>
        <w:rPr>
          <w:color w:val="231F20"/>
          <w:spacing w:val="-5"/>
        </w:rPr>
        <w:t xml:space="preserve"> K–12. </w:t>
      </w:r>
      <w:r>
        <w:rPr>
          <w:color w:val="231F20"/>
        </w:rPr>
        <w:t xml:space="preserve">New York, </w:t>
      </w:r>
      <w:r>
        <w:rPr>
          <w:color w:val="231F20"/>
          <w:spacing w:val="-3"/>
        </w:rPr>
        <w:t xml:space="preserve">NY: </w:t>
      </w:r>
      <w:r>
        <w:rPr>
          <w:color w:val="231F20"/>
        </w:rPr>
        <w:t>Pearson Education, Inc.</w:t>
      </w:r>
    </w:p>
    <w:p w:rsidR="00C93462" w:rsidRDefault="00C93462">
      <w:pPr>
        <w:spacing w:before="6"/>
        <w:rPr>
          <w:i/>
          <w:sz w:val="8"/>
        </w:rPr>
      </w:pPr>
    </w:p>
    <w:p w:rsidR="00C93462" w:rsidRDefault="00A02B0B">
      <w:pPr>
        <w:spacing w:before="100" w:line="264" w:lineRule="auto"/>
        <w:ind w:left="10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C93462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3462"/>
    <w:rsid w:val="00A02B0B"/>
    <w:rsid w:val="00BB6CB4"/>
    <w:rsid w:val="00C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2018-04-06T16:23:00Z</dcterms:created>
  <dcterms:modified xsi:type="dcterms:W3CDTF">2018-04-10T16:33:00Z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