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13" w:rsidRDefault="009024BE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5;width:737;height:757" filled="f" stroked="f">
              <v:textbox inset="0,0,0,0">
                <w:txbxContent>
                  <w:p w:rsidR="00F37B13" w:rsidRPr="009024BE" w:rsidRDefault="00AF0D0E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024BE">
                      <w:rPr>
                        <w:color w:val="231F20"/>
                        <w:sz w:val="40"/>
                        <w:szCs w:val="40"/>
                      </w:rPr>
                      <w:t>5.5</w:t>
                    </w:r>
                  </w:p>
                </w:txbxContent>
              </v:textbox>
            </v:shape>
            <v:shape id="_x0000_s1027" type="#_x0000_t202" style="position:absolute;left:1737;top:363;width:7313;height:292" filled="f" stroked="f">
              <v:textbox inset="0,0,0,0">
                <w:txbxContent>
                  <w:p w:rsidR="00F37B13" w:rsidRDefault="00AF0D0E" w:rsidP="009024BE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Bloom’s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Taxonomy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(Revised)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Mathematical </w:t>
                    </w:r>
                    <w:r>
                      <w:rPr>
                        <w:color w:val="231F20"/>
                        <w:sz w:val="24"/>
                      </w:rPr>
                      <w:t>Knowledge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7B13" w:rsidRDefault="00F37B13">
      <w:pPr>
        <w:pStyle w:val="BodyText"/>
        <w:spacing w:before="9"/>
        <w:rPr>
          <w:rFonts w:ascii="Times"/>
          <w:i w:val="0"/>
          <w:sz w:val="7"/>
        </w:rPr>
      </w:pPr>
    </w:p>
    <w:p w:rsidR="00F37B13" w:rsidRDefault="00AF0D0E">
      <w:pPr>
        <w:pStyle w:val="BodyText"/>
        <w:spacing w:before="100" w:line="302" w:lineRule="auto"/>
        <w:ind w:left="100" w:right="219"/>
      </w:pPr>
      <w:r>
        <w:rPr>
          <w:color w:val="231F20"/>
        </w:rPr>
        <w:t>Instructions to the Coach: Gather data for a teacher about high-level questions asked in each phase of a lesson. This tool can be used in connection with Tools 5.4 or 5.5. Script the questions and during a reflecting conversation, let the teacher identify the level of thinking from Bloom’s Revised Taxonomy (</w:t>
      </w:r>
      <w:proofErr w:type="spellStart"/>
      <w:r>
        <w:rPr>
          <w:color w:val="231F20"/>
        </w:rPr>
        <w:t>Krathwohl</w:t>
      </w:r>
      <w:proofErr w:type="spellEnd"/>
      <w:r>
        <w:rPr>
          <w:color w:val="231F20"/>
        </w:rPr>
        <w:t xml:space="preserve">, 2002) </w:t>
      </w:r>
      <w:bookmarkStart w:id="0" w:name="_GoBack"/>
      <w:bookmarkEnd w:id="0"/>
      <w:r>
        <w:rPr>
          <w:color w:val="231F20"/>
        </w:rPr>
        <w:t>and the mathematical knowledge for each question.</w:t>
      </w:r>
    </w:p>
    <w:p w:rsidR="00F37B13" w:rsidRDefault="00F37B13">
      <w:pPr>
        <w:pStyle w:val="BodyText"/>
        <w:spacing w:before="7"/>
        <w:rPr>
          <w:sz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2890"/>
        <w:gridCol w:w="2890"/>
      </w:tblGrid>
      <w:tr w:rsidR="00F37B13">
        <w:trPr>
          <w:trHeight w:val="295"/>
        </w:trPr>
        <w:tc>
          <w:tcPr>
            <w:tcW w:w="5010" w:type="dxa"/>
            <w:tcBorders>
              <w:right w:val="single" w:sz="4" w:space="0" w:color="FFFFFF"/>
            </w:tcBorders>
            <w:shd w:val="clear" w:color="auto" w:fill="008CA7"/>
          </w:tcPr>
          <w:p w:rsidR="00F37B13" w:rsidRDefault="00AF0D0E">
            <w:pPr>
              <w:pStyle w:val="TableParagraph"/>
              <w:ind w:left="1088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Mathematical Knowledge Key</w:t>
            </w:r>
          </w:p>
        </w:tc>
        <w:tc>
          <w:tcPr>
            <w:tcW w:w="5780" w:type="dxa"/>
            <w:gridSpan w:val="2"/>
            <w:tcBorders>
              <w:left w:val="single" w:sz="4" w:space="0" w:color="FFFFFF"/>
            </w:tcBorders>
            <w:shd w:val="clear" w:color="auto" w:fill="008CA7"/>
          </w:tcPr>
          <w:p w:rsidR="00F37B13" w:rsidRDefault="00AF0D0E">
            <w:pPr>
              <w:pStyle w:val="TableParagraph"/>
              <w:ind w:left="1398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Question Level of Thinking Key</w:t>
            </w:r>
          </w:p>
        </w:tc>
      </w:tr>
      <w:tr w:rsidR="00F37B13">
        <w:trPr>
          <w:trHeight w:val="1117"/>
        </w:trPr>
        <w:tc>
          <w:tcPr>
            <w:tcW w:w="5010" w:type="dxa"/>
            <w:tcBorders>
              <w:left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3"/>
              <w:rPr>
                <w:rFonts w:ascii="Verdana"/>
                <w:i/>
                <w:sz w:val="21"/>
              </w:rPr>
            </w:pPr>
          </w:p>
          <w:p w:rsidR="00F37B13" w:rsidRDefault="00AF0D0E">
            <w:pPr>
              <w:pStyle w:val="TableParagraph"/>
              <w:spacing w:before="1"/>
              <w:ind w:left="80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CO: </w:t>
            </w:r>
            <w:r>
              <w:rPr>
                <w:rFonts w:ascii="Verdana"/>
                <w:i/>
                <w:color w:val="231F20"/>
                <w:sz w:val="17"/>
              </w:rPr>
              <w:t>Conceptual</w:t>
            </w:r>
          </w:p>
          <w:p w:rsidR="00F37B13" w:rsidRDefault="00AF0D0E">
            <w:pPr>
              <w:pStyle w:val="TableParagraph"/>
              <w:spacing w:before="13"/>
              <w:ind w:left="80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P: </w:t>
            </w:r>
            <w:r>
              <w:rPr>
                <w:rFonts w:ascii="Verdana"/>
                <w:i/>
                <w:color w:val="231F20"/>
                <w:sz w:val="17"/>
              </w:rPr>
              <w:t>Procedural</w:t>
            </w:r>
          </w:p>
        </w:tc>
        <w:tc>
          <w:tcPr>
            <w:tcW w:w="2890" w:type="dxa"/>
            <w:tcBorders>
              <w:left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3"/>
              <w:rPr>
                <w:rFonts w:ascii="Verdana"/>
                <w:i/>
                <w:sz w:val="21"/>
              </w:rPr>
            </w:pPr>
          </w:p>
          <w:p w:rsidR="00F37B13" w:rsidRDefault="00AF0D0E">
            <w:pPr>
              <w:pStyle w:val="TableParagraph"/>
              <w:spacing w:before="1" w:line="254" w:lineRule="auto"/>
              <w:ind w:left="80" w:right="1588"/>
              <w:jc w:val="both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CR: </w:t>
            </w:r>
            <w:r>
              <w:rPr>
                <w:rFonts w:ascii="Verdana"/>
                <w:i/>
                <w:color w:val="231F20"/>
                <w:sz w:val="17"/>
              </w:rPr>
              <w:t xml:space="preserve">Creating </w:t>
            </w:r>
            <w:r>
              <w:rPr>
                <w:rFonts w:ascii="Verdana"/>
                <w:color w:val="231F20"/>
                <w:sz w:val="17"/>
              </w:rPr>
              <w:t xml:space="preserve">E: </w:t>
            </w:r>
            <w:r>
              <w:rPr>
                <w:rFonts w:ascii="Verdana"/>
                <w:i/>
                <w:color w:val="231F20"/>
                <w:sz w:val="17"/>
              </w:rPr>
              <w:t xml:space="preserve">Evaluating </w:t>
            </w:r>
            <w:r>
              <w:rPr>
                <w:rFonts w:ascii="Verdana"/>
                <w:color w:val="231F20"/>
                <w:sz w:val="17"/>
              </w:rPr>
              <w:t xml:space="preserve">AN: </w:t>
            </w:r>
            <w:r>
              <w:rPr>
                <w:rFonts w:ascii="Verdana"/>
                <w:i/>
                <w:color w:val="231F20"/>
                <w:sz w:val="17"/>
              </w:rPr>
              <w:t>Analyzing</w:t>
            </w:r>
          </w:p>
        </w:tc>
        <w:tc>
          <w:tcPr>
            <w:tcW w:w="2890" w:type="dxa"/>
            <w:tcBorders>
              <w:left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3"/>
              <w:rPr>
                <w:rFonts w:ascii="Verdana"/>
                <w:i/>
                <w:sz w:val="21"/>
              </w:rPr>
            </w:pPr>
          </w:p>
          <w:p w:rsidR="00F37B13" w:rsidRDefault="00AF0D0E">
            <w:pPr>
              <w:pStyle w:val="TableParagraph"/>
              <w:spacing w:before="1"/>
              <w:ind w:left="80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AP: </w:t>
            </w:r>
            <w:r>
              <w:rPr>
                <w:rFonts w:ascii="Verdana"/>
                <w:i/>
                <w:color w:val="231F20"/>
                <w:sz w:val="17"/>
              </w:rPr>
              <w:t>Applying</w:t>
            </w:r>
          </w:p>
          <w:p w:rsidR="00F37B13" w:rsidRDefault="00AF0D0E">
            <w:pPr>
              <w:pStyle w:val="TableParagraph"/>
              <w:spacing w:before="13"/>
              <w:ind w:left="80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U: </w:t>
            </w:r>
            <w:r>
              <w:rPr>
                <w:rFonts w:ascii="Verdana"/>
                <w:i/>
                <w:color w:val="231F20"/>
                <w:sz w:val="17"/>
              </w:rPr>
              <w:t>Understanding</w:t>
            </w:r>
          </w:p>
          <w:p w:rsidR="00F37B13" w:rsidRDefault="00AF0D0E">
            <w:pPr>
              <w:pStyle w:val="TableParagraph"/>
              <w:spacing w:before="13"/>
              <w:ind w:left="80"/>
              <w:rPr>
                <w:rFonts w:ascii="Verdana"/>
                <w:i/>
                <w:sz w:val="17"/>
              </w:rPr>
            </w:pPr>
            <w:r>
              <w:rPr>
                <w:rFonts w:ascii="Verdana"/>
                <w:color w:val="231F20"/>
                <w:sz w:val="17"/>
              </w:rPr>
              <w:t xml:space="preserve">R: </w:t>
            </w:r>
            <w:r>
              <w:rPr>
                <w:rFonts w:ascii="Verdana"/>
                <w:i/>
                <w:color w:val="231F20"/>
                <w:sz w:val="17"/>
              </w:rPr>
              <w:t>Remembering</w:t>
            </w:r>
          </w:p>
        </w:tc>
      </w:tr>
      <w:tr w:rsidR="00F37B13">
        <w:trPr>
          <w:trHeight w:val="295"/>
        </w:trPr>
        <w:tc>
          <w:tcPr>
            <w:tcW w:w="10790" w:type="dxa"/>
            <w:gridSpan w:val="3"/>
            <w:shd w:val="clear" w:color="auto" w:fill="008CA7"/>
          </w:tcPr>
          <w:p w:rsidR="00F37B13" w:rsidRDefault="00AF0D0E">
            <w:pPr>
              <w:pStyle w:val="TableParagraph"/>
              <w:ind w:left="4314" w:right="430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Launching the Task</w:t>
            </w:r>
          </w:p>
        </w:tc>
      </w:tr>
      <w:tr w:rsidR="00F37B13">
        <w:trPr>
          <w:trHeight w:val="2694"/>
        </w:trPr>
        <w:tc>
          <w:tcPr>
            <w:tcW w:w="10790" w:type="dxa"/>
            <w:gridSpan w:val="3"/>
            <w:tcBorders>
              <w:left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F37B13">
        <w:trPr>
          <w:trHeight w:val="294"/>
        </w:trPr>
        <w:tc>
          <w:tcPr>
            <w:tcW w:w="10790" w:type="dxa"/>
            <w:gridSpan w:val="3"/>
            <w:shd w:val="clear" w:color="auto" w:fill="008CA7"/>
          </w:tcPr>
          <w:p w:rsidR="00F37B13" w:rsidRDefault="00AF0D0E">
            <w:pPr>
              <w:pStyle w:val="TableParagraph"/>
              <w:ind w:left="4314" w:right="430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Monitoring the Task</w:t>
            </w:r>
          </w:p>
        </w:tc>
      </w:tr>
      <w:tr w:rsidR="00F37B13">
        <w:trPr>
          <w:trHeight w:val="2695"/>
        </w:trPr>
        <w:tc>
          <w:tcPr>
            <w:tcW w:w="10790" w:type="dxa"/>
            <w:gridSpan w:val="3"/>
            <w:tcBorders>
              <w:left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F37B13">
        <w:trPr>
          <w:trHeight w:val="295"/>
        </w:trPr>
        <w:tc>
          <w:tcPr>
            <w:tcW w:w="10790" w:type="dxa"/>
            <w:gridSpan w:val="3"/>
            <w:shd w:val="clear" w:color="auto" w:fill="008CA7"/>
          </w:tcPr>
          <w:p w:rsidR="00F37B13" w:rsidRDefault="00AF0D0E">
            <w:pPr>
              <w:pStyle w:val="TableParagraph"/>
              <w:ind w:left="4314" w:right="430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Summarizing the Task</w:t>
            </w:r>
          </w:p>
        </w:tc>
      </w:tr>
      <w:tr w:rsidR="00F37B13">
        <w:trPr>
          <w:trHeight w:val="2694"/>
        </w:trPr>
        <w:tc>
          <w:tcPr>
            <w:tcW w:w="10790" w:type="dxa"/>
            <w:gridSpan w:val="3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37B13" w:rsidRDefault="00F37B13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</w:tbl>
    <w:p w:rsidR="00F37B13" w:rsidRDefault="00AF0D0E">
      <w:pPr>
        <w:spacing w:before="59"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F37B13" w:rsidRDefault="00AF0D0E">
      <w:pPr>
        <w:spacing w:before="94" w:line="264" w:lineRule="auto"/>
        <w:ind w:left="103" w:right="219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F37B13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B13"/>
    <w:rsid w:val="009024BE"/>
    <w:rsid w:val="00AF0D0E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2018-04-06T16:15:00Z</dcterms:created>
  <dcterms:modified xsi:type="dcterms:W3CDTF">2018-04-10T16:28:00Z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