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2" w:rsidRDefault="005F2E5C">
      <w:pPr>
        <w:pStyle w:val="BodyText"/>
        <w:ind w:left="11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39.95pt;height:47.75pt;mso-position-horizontal-relative:char;mso-position-vertical-relative:line" coordorigin=",5" coordsize="10799,955">
            <v:line id="_x0000_s1031" style="position:absolute" from="0,5" to="10799,5" strokecolor="#231f20" strokeweight=".5pt"/>
            <v:shape id="_x0000_s1030" style="position:absolute;top:54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9;top:148;width:680;height:757" filled="f" stroked="f">
              <v:textbox inset="0,0,0,0">
                <w:txbxContent>
                  <w:p w:rsidR="008C6A32" w:rsidRPr="005F2E5C" w:rsidRDefault="00A13673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F2E5C">
                      <w:rPr>
                        <w:color w:val="231F20"/>
                        <w:sz w:val="40"/>
                        <w:szCs w:val="40"/>
                      </w:rPr>
                      <w:t>3.4</w:t>
                    </w:r>
                  </w:p>
                </w:txbxContent>
              </v:textbox>
            </v:shape>
            <v:shape id="_x0000_s1027" type="#_x0000_t202" style="position:absolute;left:1711;top:356;width:1757;height:292" filled="f" stroked="f">
              <v:textbox inset="0,0,0,0">
                <w:txbxContent>
                  <w:p w:rsidR="008C6A32" w:rsidRDefault="00A13673" w:rsidP="005F2E5C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8"/>
                        <w:sz w:val="24"/>
                      </w:rPr>
                      <w:t xml:space="preserve">P.I.C.S.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Page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6A32" w:rsidRDefault="00A13673">
      <w:pPr>
        <w:pStyle w:val="BodyText"/>
        <w:spacing w:before="148"/>
        <w:ind w:left="120"/>
      </w:pPr>
      <w:r>
        <w:rPr>
          <w:color w:val="231F20"/>
        </w:rPr>
        <w:t>Instructions: Identify a topic and provide examples and illustration</w:t>
      </w:r>
      <w:bookmarkStart w:id="0" w:name="_GoBack"/>
      <w:bookmarkEnd w:id="0"/>
      <w:r>
        <w:rPr>
          <w:color w:val="231F20"/>
        </w:rPr>
        <w:t>s in each box.</w:t>
      </w:r>
    </w:p>
    <w:p w:rsidR="008C6A32" w:rsidRDefault="008C6A32">
      <w:pPr>
        <w:pStyle w:val="BodyText"/>
        <w:rPr>
          <w:sz w:val="20"/>
        </w:rPr>
      </w:pPr>
    </w:p>
    <w:p w:rsidR="008C6A32" w:rsidRDefault="008C6A32">
      <w:pPr>
        <w:pStyle w:val="BodyText"/>
        <w:spacing w:before="5"/>
        <w:rPr>
          <w:sz w:val="15"/>
        </w:rPr>
      </w:pPr>
    </w:p>
    <w:p w:rsidR="008C6A32" w:rsidRDefault="00A13673">
      <w:pPr>
        <w:tabs>
          <w:tab w:val="left" w:pos="7054"/>
        </w:tabs>
        <w:ind w:left="120"/>
        <w:rPr>
          <w:rFonts w:ascii="Plantin"/>
          <w:b/>
          <w:sz w:val="21"/>
        </w:rPr>
      </w:pPr>
      <w:r>
        <w:rPr>
          <w:rFonts w:ascii="Plantin"/>
          <w:b/>
          <w:color w:val="231F20"/>
          <w:spacing w:val="-7"/>
          <w:sz w:val="21"/>
        </w:rPr>
        <w:t>Topic:</w:t>
      </w:r>
      <w:r>
        <w:rPr>
          <w:rFonts w:ascii="Plantin"/>
          <w:b/>
          <w:color w:val="231F20"/>
          <w:spacing w:val="-17"/>
          <w:sz w:val="21"/>
        </w:rPr>
        <w:t xml:space="preserve"> </w:t>
      </w:r>
      <w:r>
        <w:rPr>
          <w:rFonts w:ascii="Plantin"/>
          <w:b/>
          <w:color w:val="231F20"/>
          <w:sz w:val="21"/>
          <w:u w:val="single" w:color="231F20"/>
        </w:rPr>
        <w:t xml:space="preserve"> </w:t>
      </w:r>
      <w:r>
        <w:rPr>
          <w:rFonts w:ascii="Plantin"/>
          <w:b/>
          <w:color w:val="231F20"/>
          <w:sz w:val="21"/>
          <w:u w:val="single" w:color="231F20"/>
        </w:rPr>
        <w:tab/>
      </w:r>
    </w:p>
    <w:p w:rsidR="008C6A32" w:rsidRDefault="008C6A32">
      <w:pPr>
        <w:pStyle w:val="BodyText"/>
        <w:spacing w:before="4"/>
        <w:rPr>
          <w:rFonts w:ascii="Plantin"/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8C6A32">
        <w:trPr>
          <w:trHeight w:val="327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8C6A32" w:rsidRDefault="00A13673">
            <w:pPr>
              <w:pStyle w:val="TableParagraph"/>
              <w:spacing w:before="32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rocedure (symbolic representation)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8C6A32" w:rsidRDefault="00A1367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llustration (picture or manipulative)</w:t>
            </w:r>
          </w:p>
        </w:tc>
      </w:tr>
      <w:tr w:rsidR="008C6A32">
        <w:trPr>
          <w:trHeight w:val="4090"/>
        </w:trPr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8C6A32" w:rsidRDefault="008C6A32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8C6A32" w:rsidRDefault="008C6A32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8C6A32">
        <w:trPr>
          <w:trHeight w:val="122"/>
        </w:trPr>
        <w:tc>
          <w:tcPr>
            <w:tcW w:w="10800" w:type="dxa"/>
            <w:gridSpan w:val="2"/>
            <w:tcBorders>
              <w:top w:val="single" w:sz="4" w:space="0" w:color="008CA7"/>
              <w:left w:val="nil"/>
              <w:bottom w:val="single" w:sz="4" w:space="0" w:color="008CA7"/>
              <w:right w:val="nil"/>
            </w:tcBorders>
          </w:tcPr>
          <w:p w:rsidR="008C6A32" w:rsidRDefault="008C6A32">
            <w:pPr>
              <w:pStyle w:val="TableParagraph"/>
              <w:rPr>
                <w:rFonts w:ascii="Times"/>
                <w:sz w:val="8"/>
              </w:rPr>
            </w:pPr>
          </w:p>
        </w:tc>
      </w:tr>
      <w:tr w:rsidR="008C6A32">
        <w:trPr>
          <w:trHeight w:val="322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8C6A32" w:rsidRDefault="00A13673">
            <w:pPr>
              <w:pStyle w:val="TableParagraph"/>
              <w:spacing w:before="27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oncept (general explanation)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8C6A32" w:rsidRDefault="00A13673">
            <w:pPr>
              <w:pStyle w:val="TableParagraph"/>
              <w:spacing w:before="27"/>
              <w:ind w:left="8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ituation (context)</w:t>
            </w:r>
          </w:p>
        </w:tc>
      </w:tr>
      <w:tr w:rsidR="008C6A32">
        <w:trPr>
          <w:trHeight w:val="4090"/>
        </w:trPr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8C6A32" w:rsidRDefault="008C6A32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8C6A32" w:rsidRDefault="008C6A32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:rsidR="008C6A32" w:rsidRDefault="00A13673">
      <w:pPr>
        <w:spacing w:before="159" w:line="295" w:lineRule="auto"/>
        <w:ind w:left="120"/>
        <w:rPr>
          <w:i/>
          <w:sz w:val="12"/>
        </w:rPr>
      </w:pPr>
      <w:r>
        <w:rPr>
          <w:color w:val="231F20"/>
          <w:sz w:val="12"/>
        </w:rPr>
        <w:t>Source</w:t>
      </w:r>
      <w:r>
        <w:rPr>
          <w:i/>
          <w:color w:val="231F20"/>
          <w:sz w:val="12"/>
        </w:rPr>
        <w:t xml:space="preserve">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8C6A32" w:rsidRDefault="008C6A32">
      <w:pPr>
        <w:pStyle w:val="BodyText"/>
        <w:rPr>
          <w:i/>
          <w:sz w:val="20"/>
        </w:rPr>
      </w:pPr>
    </w:p>
    <w:p w:rsidR="008C6A32" w:rsidRDefault="008C6A32">
      <w:pPr>
        <w:pStyle w:val="BodyText"/>
        <w:rPr>
          <w:i/>
          <w:sz w:val="20"/>
        </w:rPr>
      </w:pPr>
    </w:p>
    <w:p w:rsidR="008C6A32" w:rsidRDefault="008C6A32">
      <w:pPr>
        <w:pStyle w:val="BodyText"/>
        <w:rPr>
          <w:i/>
          <w:sz w:val="20"/>
        </w:rPr>
      </w:pPr>
    </w:p>
    <w:p w:rsidR="008C6A32" w:rsidRDefault="008C6A32">
      <w:pPr>
        <w:pStyle w:val="BodyText"/>
        <w:rPr>
          <w:i/>
          <w:sz w:val="20"/>
        </w:rPr>
      </w:pPr>
    </w:p>
    <w:p w:rsidR="008C6A32" w:rsidRDefault="008C6A32">
      <w:pPr>
        <w:pStyle w:val="BodyText"/>
        <w:rPr>
          <w:i/>
          <w:sz w:val="20"/>
        </w:rPr>
      </w:pPr>
    </w:p>
    <w:p w:rsidR="008C6A32" w:rsidRDefault="008C6A32">
      <w:pPr>
        <w:pStyle w:val="BodyText"/>
        <w:rPr>
          <w:i/>
          <w:sz w:val="20"/>
        </w:rPr>
      </w:pPr>
    </w:p>
    <w:p w:rsidR="008C6A32" w:rsidRDefault="008C6A32">
      <w:pPr>
        <w:pStyle w:val="BodyText"/>
        <w:spacing w:before="7"/>
        <w:rPr>
          <w:i/>
          <w:sz w:val="18"/>
        </w:rPr>
      </w:pPr>
    </w:p>
    <w:p w:rsidR="008C6A32" w:rsidRDefault="00A13673">
      <w:pPr>
        <w:spacing w:line="264" w:lineRule="auto"/>
        <w:ind w:left="12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8C6A32">
      <w:type w:val="continuous"/>
      <w:pgSz w:w="12240" w:h="15840"/>
      <w:pgMar w:top="9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A32"/>
    <w:rsid w:val="005F2E5C"/>
    <w:rsid w:val="008C6A32"/>
    <w:rsid w:val="00A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2018-04-06T16:00:00Z</dcterms:created>
  <dcterms:modified xsi:type="dcterms:W3CDTF">2018-04-10T16:21:00Z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