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7" w:rsidRDefault="004E5135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:rsidR="00213A17" w:rsidRPr="004E5135" w:rsidRDefault="00594EC0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4E5135">
                      <w:rPr>
                        <w:color w:val="231F20"/>
                        <w:sz w:val="40"/>
                        <w:szCs w:val="40"/>
                      </w:rPr>
                      <w:t>3.2</w:t>
                    </w:r>
                  </w:p>
                </w:txbxContent>
              </v:textbox>
            </v:shape>
            <v:shape id="_x0000_s1027" type="#_x0000_t202" style="position:absolute;left:1737;top:356;width:4989;height:292" filled="f" stroked="f">
              <v:textbox inset="0,0,0,0">
                <w:txbxContent>
                  <w:p w:rsidR="00213A17" w:rsidRDefault="00594EC0" w:rsidP="004E5135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</w:t>
                    </w:r>
                    <w:r>
                      <w:rPr>
                        <w:i/>
                        <w:color w:val="231F20"/>
                        <w:sz w:val="24"/>
                      </w:rPr>
                      <w:t xml:space="preserve">Shifts </w:t>
                    </w:r>
                    <w:r>
                      <w:rPr>
                        <w:color w:val="231F20"/>
                        <w:sz w:val="24"/>
                      </w:rPr>
                      <w:t xml:space="preserve">to Content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Tasks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3A17" w:rsidRDefault="00594EC0">
      <w:pPr>
        <w:pStyle w:val="BodyText"/>
        <w:spacing w:before="147" w:line="302" w:lineRule="auto"/>
        <w:ind w:left="100" w:right="222"/>
      </w:pPr>
      <w:r>
        <w:rPr>
          <w:color w:val="231F20"/>
        </w:rPr>
        <w:t xml:space="preserve">Instructions: The </w:t>
      </w:r>
      <w:r>
        <w:rPr>
          <w:i/>
          <w:color w:val="231F20"/>
        </w:rPr>
        <w:t xml:space="preserve">Shifts in Classroom Practice </w:t>
      </w:r>
      <w:r>
        <w:rPr>
          <w:color w:val="231F20"/>
        </w:rPr>
        <w:t xml:space="preserve">can provide support in keeping the level of cognitive demand high through task implementation. Select one or two </w:t>
      </w:r>
      <w:r>
        <w:rPr>
          <w:i/>
          <w:color w:val="231F20"/>
        </w:rPr>
        <w:t xml:space="preserve">Shifts </w:t>
      </w:r>
      <w:r>
        <w:rPr>
          <w:color w:val="231F20"/>
        </w:rPr>
        <w:t>as a focus and then complete the planning table here.</w:t>
      </w:r>
    </w:p>
    <w:p w:rsidR="00213A17" w:rsidRDefault="00594EC0">
      <w:pPr>
        <w:spacing w:before="89"/>
        <w:ind w:left="100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color w:val="231F20"/>
          <w:sz w:val="17"/>
        </w:rPr>
        <w:t>Shift(s):</w:t>
      </w:r>
      <w:bookmarkStart w:id="0" w:name="_GoBack"/>
      <w:bookmarkEnd w:id="0"/>
    </w:p>
    <w:p w:rsidR="00213A17" w:rsidRDefault="00594EC0">
      <w:pPr>
        <w:tabs>
          <w:tab w:val="left" w:pos="7335"/>
        </w:tabs>
        <w:spacing w:before="143" w:line="405" w:lineRule="auto"/>
        <w:ind w:left="100" w:right="3682"/>
        <w:rPr>
          <w:i/>
          <w:sz w:val="17"/>
        </w:rPr>
      </w:pPr>
      <w:r>
        <w:rPr>
          <w:i/>
          <w:color w:val="231F20"/>
          <w:sz w:val="17"/>
        </w:rPr>
        <w:t>Toward .</w:t>
      </w:r>
      <w:r>
        <w:rPr>
          <w:i/>
          <w:color w:val="231F20"/>
          <w:spacing w:val="-47"/>
          <w:sz w:val="17"/>
        </w:rPr>
        <w:t xml:space="preserve"> </w:t>
      </w:r>
      <w:r>
        <w:rPr>
          <w:i/>
          <w:color w:val="231F20"/>
          <w:sz w:val="17"/>
        </w:rPr>
        <w:t>.</w:t>
      </w:r>
      <w:r>
        <w:rPr>
          <w:i/>
          <w:color w:val="231F20"/>
          <w:spacing w:val="-42"/>
          <w:sz w:val="17"/>
        </w:rPr>
        <w:t xml:space="preserve"> </w:t>
      </w:r>
      <w:r>
        <w:rPr>
          <w:i/>
          <w:color w:val="231F20"/>
          <w:sz w:val="17"/>
        </w:rPr>
        <w:t>.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ab/>
      </w:r>
      <w:r>
        <w:rPr>
          <w:i/>
          <w:color w:val="231F20"/>
          <w:sz w:val="17"/>
        </w:rPr>
        <w:t xml:space="preserve"> Toward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.</w:t>
      </w:r>
      <w:r>
        <w:rPr>
          <w:i/>
          <w:color w:val="231F20"/>
          <w:spacing w:val="-42"/>
          <w:sz w:val="17"/>
        </w:rPr>
        <w:t xml:space="preserve"> </w:t>
      </w:r>
      <w:r>
        <w:rPr>
          <w:i/>
          <w:color w:val="231F20"/>
          <w:sz w:val="17"/>
        </w:rPr>
        <w:t>.</w:t>
      </w:r>
      <w:r>
        <w:rPr>
          <w:i/>
          <w:color w:val="231F20"/>
          <w:spacing w:val="-42"/>
          <w:sz w:val="17"/>
        </w:rPr>
        <w:t xml:space="preserve"> </w:t>
      </w:r>
      <w:r>
        <w:rPr>
          <w:i/>
          <w:color w:val="231F20"/>
          <w:sz w:val="17"/>
        </w:rPr>
        <w:t>.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ab/>
      </w:r>
    </w:p>
    <w:p w:rsidR="00213A17" w:rsidRDefault="00213A17">
      <w:pPr>
        <w:pStyle w:val="BodyText"/>
        <w:spacing w:before="6"/>
        <w:rPr>
          <w:i/>
          <w:sz w:val="24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213A17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213A17" w:rsidRDefault="00594EC0">
            <w:pPr>
              <w:pStyle w:val="TableParagraph"/>
              <w:spacing w:before="39"/>
              <w:ind w:left="842" w:right="827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The Task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8CA7"/>
          </w:tcPr>
          <w:p w:rsidR="00213A17" w:rsidRDefault="00594EC0">
            <w:pPr>
              <w:pStyle w:val="TableParagraph"/>
              <w:spacing w:before="39"/>
              <w:ind w:left="647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Classroom Environment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213A17" w:rsidRDefault="00594EC0">
            <w:pPr>
              <w:pStyle w:val="TableParagraph"/>
              <w:spacing w:before="39"/>
              <w:ind w:left="842" w:right="83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Setting Up the Task</w:t>
            </w:r>
          </w:p>
        </w:tc>
      </w:tr>
      <w:tr w:rsidR="00213A17">
        <w:trPr>
          <w:trHeight w:val="499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spacing w:line="254" w:lineRule="auto"/>
              <w:ind w:left="80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How might you adapt the task to reflect the selected </w:t>
            </w:r>
            <w:r>
              <w:rPr>
                <w:i/>
                <w:color w:val="231F20"/>
                <w:sz w:val="17"/>
              </w:rPr>
              <w:t>Shifts</w:t>
            </w:r>
            <w:r>
              <w:rPr>
                <w:color w:val="231F20"/>
                <w:sz w:val="17"/>
              </w:rPr>
              <w:t>?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How might you organize students?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spacing w:line="254" w:lineRule="auto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How might you pose the task to reflect the selected </w:t>
            </w:r>
            <w:r>
              <w:rPr>
                <w:i/>
                <w:color w:val="231F20"/>
                <w:sz w:val="17"/>
              </w:rPr>
              <w:t>Shift(s)</w:t>
            </w:r>
            <w:r>
              <w:rPr>
                <w:color w:val="231F20"/>
                <w:sz w:val="17"/>
              </w:rPr>
              <w:t>?</w:t>
            </w:r>
          </w:p>
        </w:tc>
      </w:tr>
      <w:tr w:rsidR="00213A17">
        <w:trPr>
          <w:trHeight w:val="2532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  <w:tr w:rsidR="00213A17">
        <w:trPr>
          <w:trHeight w:val="280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213A17" w:rsidRDefault="00594EC0">
            <w:pPr>
              <w:pStyle w:val="TableParagraph"/>
              <w:ind w:left="842" w:right="82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Lesson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8CA7"/>
          </w:tcPr>
          <w:p w:rsidR="00213A17" w:rsidRDefault="00594EC0">
            <w:pPr>
              <w:pStyle w:val="TableParagraph"/>
              <w:ind w:left="842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Discussing the Task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213A17" w:rsidRDefault="00594EC0">
            <w:pPr>
              <w:pStyle w:val="TableParagraph"/>
              <w:ind w:left="842" w:right="83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Assessing</w:t>
            </w:r>
          </w:p>
        </w:tc>
      </w:tr>
      <w:tr w:rsidR="00213A17">
        <w:trPr>
          <w:trHeight w:val="499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spacing w:line="254" w:lineRule="auto"/>
              <w:ind w:left="80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How might you structure the lesson itself to align with the </w:t>
            </w:r>
            <w:r>
              <w:rPr>
                <w:i/>
                <w:color w:val="231F20"/>
                <w:sz w:val="17"/>
              </w:rPr>
              <w:t>Shift(s)</w:t>
            </w:r>
            <w:r>
              <w:rPr>
                <w:color w:val="231F20"/>
                <w:sz w:val="17"/>
              </w:rPr>
              <w:t>?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spacing w:line="254" w:lineRule="auto"/>
              <w:ind w:left="80" w:right="173"/>
              <w:rPr>
                <w:sz w:val="17"/>
              </w:rPr>
            </w:pPr>
            <w:r>
              <w:rPr>
                <w:color w:val="231F20"/>
                <w:sz w:val="17"/>
              </w:rPr>
              <w:t>What questions or questioning strategies will you use?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594EC0">
            <w:pPr>
              <w:pStyle w:val="TableParagraph"/>
              <w:spacing w:line="254" w:lineRule="auto"/>
              <w:ind w:left="80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What will you </w:t>
            </w:r>
            <w:proofErr w:type="gramStart"/>
            <w:r>
              <w:rPr>
                <w:color w:val="231F20"/>
                <w:sz w:val="17"/>
              </w:rPr>
              <w:t>be</w:t>
            </w:r>
            <w:proofErr w:type="gramEnd"/>
            <w:r>
              <w:rPr>
                <w:color w:val="231F20"/>
                <w:sz w:val="17"/>
              </w:rPr>
              <w:t xml:space="preserve"> looking for as students work?</w:t>
            </w:r>
          </w:p>
        </w:tc>
      </w:tr>
      <w:tr w:rsidR="00213A17">
        <w:trPr>
          <w:trHeight w:val="3355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13A17" w:rsidRDefault="00213A17">
            <w:pPr>
              <w:pStyle w:val="TableParagraph"/>
              <w:spacing w:before="0"/>
              <w:rPr>
                <w:rFonts w:ascii="Times"/>
                <w:sz w:val="14"/>
              </w:rPr>
            </w:pPr>
          </w:p>
        </w:tc>
      </w:tr>
    </w:tbl>
    <w:p w:rsidR="00213A17" w:rsidRDefault="00213A17">
      <w:pPr>
        <w:pStyle w:val="BodyText"/>
        <w:spacing w:before="1"/>
        <w:rPr>
          <w:i/>
          <w:sz w:val="13"/>
        </w:rPr>
      </w:pPr>
    </w:p>
    <w:p w:rsidR="00213A17" w:rsidRDefault="00594EC0">
      <w:pPr>
        <w:spacing w:line="295" w:lineRule="auto"/>
        <w:ind w:left="100"/>
        <w:rPr>
          <w:i/>
          <w:sz w:val="12"/>
        </w:rPr>
      </w:pPr>
      <w:r>
        <w:rPr>
          <w:color w:val="231F20"/>
          <w:sz w:val="12"/>
        </w:rPr>
        <w:t>Source</w:t>
      </w:r>
      <w:r>
        <w:rPr>
          <w:i/>
          <w:color w:val="231F20"/>
          <w:sz w:val="12"/>
        </w:rPr>
        <w:t xml:space="preserve">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rPr>
          <w:i/>
          <w:sz w:val="20"/>
        </w:rPr>
      </w:pPr>
    </w:p>
    <w:p w:rsidR="00213A17" w:rsidRDefault="00213A17">
      <w:pPr>
        <w:pStyle w:val="BodyText"/>
        <w:spacing w:before="11"/>
        <w:rPr>
          <w:i/>
          <w:sz w:val="14"/>
        </w:rPr>
      </w:pPr>
    </w:p>
    <w:p w:rsidR="00213A17" w:rsidRDefault="00594EC0">
      <w:pPr>
        <w:spacing w:before="100" w:line="264" w:lineRule="auto"/>
        <w:ind w:left="103" w:right="222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13A17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A17"/>
    <w:rsid w:val="00213A17"/>
    <w:rsid w:val="004E5135"/>
    <w:rsid w:val="005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2018-04-06T15:59:00Z</dcterms:created>
  <dcterms:modified xsi:type="dcterms:W3CDTF">2018-04-10T16:16:00Z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