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A" w:rsidRDefault="00E12AA6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75pt;mso-position-horizontal-relative:char;mso-position-vertical-relative:line" coordorigin=",5" coordsize="10800,955">
            <v:shape id="_x0000_s1031" style="position:absolute;top:54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6" o:title="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99;width:737;height:757" filled="f" stroked="f">
              <v:textbox inset="0,0,0,0">
                <w:txbxContent>
                  <w:p w:rsidR="00146E2A" w:rsidRPr="00E12AA6" w:rsidRDefault="006A0F9C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E12AA6">
                      <w:rPr>
                        <w:color w:val="231F20"/>
                        <w:sz w:val="40"/>
                        <w:szCs w:val="40"/>
                      </w:rPr>
                      <w:t>2.5</w:t>
                    </w:r>
                  </w:p>
                </w:txbxContent>
              </v:textbox>
            </v:shape>
            <v:shape id="_x0000_s1027" type="#_x0000_t202" style="position:absolute;left:1737;top:407;width:2891;height:292" filled="f" stroked="f">
              <v:textbox inset="0,0,0,0">
                <w:txbxContent>
                  <w:p w:rsidR="00146E2A" w:rsidRDefault="006A0F9C" w:rsidP="00E12AA6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Lesson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Plan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Template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6E2A" w:rsidRDefault="00146E2A">
      <w:pPr>
        <w:pStyle w:val="BodyText"/>
        <w:rPr>
          <w:rFonts w:ascii="Times"/>
          <w:sz w:val="11"/>
        </w:rPr>
      </w:pPr>
    </w:p>
    <w:p w:rsidR="00146E2A" w:rsidRDefault="006A0F9C">
      <w:pPr>
        <w:pStyle w:val="BodyText"/>
        <w:spacing w:before="100"/>
        <w:ind w:left="100"/>
      </w:pPr>
      <w:r>
        <w:rPr>
          <w:color w:val="231F20"/>
        </w:rPr>
        <w:t>Instructions: Complete this tool in connection with a specific lesson and selected task.</w:t>
      </w:r>
    </w:p>
    <w:p w:rsidR="00146E2A" w:rsidRDefault="00146E2A">
      <w:pPr>
        <w:rPr>
          <w:sz w:val="20"/>
        </w:rPr>
      </w:pPr>
      <w:bookmarkStart w:id="0" w:name="_GoBack"/>
      <w:bookmarkEnd w:id="0"/>
    </w:p>
    <w:p w:rsidR="00146E2A" w:rsidRDefault="00146E2A">
      <w:pPr>
        <w:spacing w:before="7" w:after="1"/>
        <w:rPr>
          <w:sz w:val="11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46E2A">
        <w:trPr>
          <w:trHeight w:val="3139"/>
        </w:trPr>
        <w:tc>
          <w:tcPr>
            <w:tcW w:w="5395" w:type="dxa"/>
          </w:tcPr>
          <w:p w:rsidR="00146E2A" w:rsidRDefault="006A0F9C">
            <w:pPr>
              <w:pStyle w:val="TableParagraph"/>
              <w:spacing w:before="34"/>
              <w:rPr>
                <w:sz w:val="17"/>
              </w:rPr>
            </w:pPr>
            <w:r>
              <w:rPr>
                <w:color w:val="231F20"/>
                <w:sz w:val="17"/>
              </w:rPr>
              <w:t>Content standard(s):</w:t>
            </w:r>
          </w:p>
          <w:p w:rsidR="00146E2A" w:rsidRDefault="00146E2A">
            <w:pPr>
              <w:pStyle w:val="TableParagraph"/>
              <w:ind w:left="0"/>
              <w:rPr>
                <w:sz w:val="20"/>
              </w:rPr>
            </w:pPr>
          </w:p>
          <w:p w:rsidR="00146E2A" w:rsidRDefault="00146E2A">
            <w:pPr>
              <w:pStyle w:val="TableParagraph"/>
              <w:ind w:left="0"/>
              <w:rPr>
                <w:sz w:val="20"/>
              </w:rPr>
            </w:pPr>
          </w:p>
          <w:p w:rsidR="00146E2A" w:rsidRDefault="00146E2A">
            <w:pPr>
              <w:pStyle w:val="TableParagraph"/>
              <w:ind w:left="0"/>
              <w:rPr>
                <w:sz w:val="20"/>
              </w:rPr>
            </w:pPr>
          </w:p>
          <w:p w:rsidR="00146E2A" w:rsidRDefault="00146E2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46E2A" w:rsidRDefault="006A0F9C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Objectives:</w:t>
            </w:r>
          </w:p>
        </w:tc>
        <w:tc>
          <w:tcPr>
            <w:tcW w:w="5395" w:type="dxa"/>
          </w:tcPr>
          <w:p w:rsidR="00146E2A" w:rsidRDefault="006A0F9C">
            <w:pPr>
              <w:pStyle w:val="TableParagraph"/>
              <w:spacing w:before="34" w:line="158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Mathematical Practices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76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persevere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60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2.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Reason abstractly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quantitatively.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324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viable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arguments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critique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reasoning</w:t>
            </w:r>
          </w:p>
          <w:p w:rsidR="00146E2A" w:rsidRDefault="006A0F9C">
            <w:pPr>
              <w:pStyle w:val="TableParagraph"/>
              <w:spacing w:before="32" w:line="147" w:lineRule="exact"/>
              <w:ind w:left="674" w:right="3855"/>
              <w:jc w:val="center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of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others.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7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4. Model with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mathematics.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60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5. Use appropriate tools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strategically.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60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6. Attend to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precision.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60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structure.</w:t>
            </w:r>
          </w:p>
          <w:p w:rsidR="00146E2A" w:rsidRDefault="006A0F9C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324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express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regularity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repeated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reasoning.</w:t>
            </w:r>
          </w:p>
        </w:tc>
      </w:tr>
      <w:tr w:rsidR="00146E2A">
        <w:trPr>
          <w:trHeight w:val="2079"/>
        </w:trPr>
        <w:tc>
          <w:tcPr>
            <w:tcW w:w="5395" w:type="dxa"/>
          </w:tcPr>
          <w:p w:rsidR="00146E2A" w:rsidRDefault="006A0F9C">
            <w:pPr>
              <w:pStyle w:val="TableParagraph"/>
              <w:spacing w:before="34" w:line="254" w:lineRule="auto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Essential questions: </w:t>
            </w:r>
            <w:r>
              <w:rPr>
                <w:i/>
                <w:color w:val="231F20"/>
                <w:sz w:val="17"/>
              </w:rPr>
              <w:t>What questions will promote inquiry, understanding, and transfer of learning?</w:t>
            </w:r>
          </w:p>
        </w:tc>
        <w:tc>
          <w:tcPr>
            <w:tcW w:w="5395" w:type="dxa"/>
          </w:tcPr>
          <w:p w:rsidR="00146E2A" w:rsidRDefault="006A0F9C">
            <w:pPr>
              <w:pStyle w:val="TableParagraph"/>
              <w:spacing w:before="34" w:line="254" w:lineRule="auto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Assessment evidence: </w:t>
            </w:r>
            <w:r>
              <w:rPr>
                <w:i/>
                <w:color w:val="231F20"/>
                <w:sz w:val="17"/>
              </w:rPr>
              <w:t>By what criteria will “performance of understanding” be judged?</w:t>
            </w:r>
          </w:p>
        </w:tc>
      </w:tr>
      <w:tr w:rsidR="00146E2A">
        <w:trPr>
          <w:trHeight w:val="2299"/>
        </w:trPr>
        <w:tc>
          <w:tcPr>
            <w:tcW w:w="5395" w:type="dxa"/>
          </w:tcPr>
          <w:p w:rsidR="00146E2A" w:rsidRDefault="006A0F9C">
            <w:pPr>
              <w:pStyle w:val="TableParagraph"/>
              <w:spacing w:before="34" w:line="254" w:lineRule="auto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>Focus task</w:t>
            </w:r>
            <w:r>
              <w:rPr>
                <w:i/>
                <w:color w:val="231F20"/>
                <w:sz w:val="17"/>
              </w:rPr>
              <w:t>: What specific mathematical activities, investigations, texts, problems, or tasks will students do in order to learn the content?</w:t>
            </w:r>
          </w:p>
        </w:tc>
        <w:tc>
          <w:tcPr>
            <w:tcW w:w="5395" w:type="dxa"/>
          </w:tcPr>
          <w:p w:rsidR="00146E2A" w:rsidRDefault="006A0F9C">
            <w:pPr>
              <w:pStyle w:val="TableParagraph"/>
              <w:spacing w:before="34" w:line="254" w:lineRule="auto"/>
              <w:ind w:right="519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Anticipated student responses: </w:t>
            </w:r>
            <w:r>
              <w:rPr>
                <w:i/>
                <w:color w:val="231F20"/>
                <w:sz w:val="17"/>
              </w:rPr>
              <w:t xml:space="preserve">What prior knowledge or limited conceptions might students </w:t>
            </w:r>
            <w:r>
              <w:rPr>
                <w:i/>
                <w:color w:val="231F20"/>
                <w:spacing w:val="-3"/>
                <w:sz w:val="17"/>
              </w:rPr>
              <w:t xml:space="preserve">have? </w:t>
            </w:r>
            <w:r>
              <w:rPr>
                <w:i/>
                <w:color w:val="231F20"/>
                <w:sz w:val="17"/>
              </w:rPr>
              <w:t>How might students solve the problem?</w:t>
            </w:r>
          </w:p>
        </w:tc>
      </w:tr>
      <w:tr w:rsidR="00146E2A">
        <w:trPr>
          <w:trHeight w:val="2299"/>
        </w:trPr>
        <w:tc>
          <w:tcPr>
            <w:tcW w:w="5395" w:type="dxa"/>
          </w:tcPr>
          <w:p w:rsidR="00146E2A" w:rsidRDefault="006A0F9C">
            <w:pPr>
              <w:pStyle w:val="TableParagraph"/>
              <w:spacing w:before="34" w:line="254" w:lineRule="auto"/>
              <w:ind w:right="381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Resources: </w:t>
            </w:r>
            <w:r>
              <w:rPr>
                <w:i/>
                <w:color w:val="231F20"/>
                <w:sz w:val="17"/>
              </w:rPr>
              <w:t>What materials or resources are essential   for students to successfully complete the lesson tasks or activities?</w:t>
            </w:r>
          </w:p>
        </w:tc>
        <w:tc>
          <w:tcPr>
            <w:tcW w:w="5395" w:type="dxa"/>
          </w:tcPr>
          <w:p w:rsidR="00146E2A" w:rsidRDefault="006A0F9C">
            <w:pPr>
              <w:pStyle w:val="TableParagraph"/>
              <w:spacing w:before="34" w:line="254" w:lineRule="auto"/>
              <w:ind w:right="381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Anticipated language needs: </w:t>
            </w:r>
            <w:r>
              <w:rPr>
                <w:i/>
                <w:color w:val="231F20"/>
                <w:sz w:val="17"/>
              </w:rPr>
              <w:t>What words, phrases, or symbols may need to be explicitly discussed within the lesson?</w:t>
            </w:r>
          </w:p>
        </w:tc>
      </w:tr>
    </w:tbl>
    <w:p w:rsidR="00146E2A" w:rsidRDefault="00146E2A">
      <w:pPr>
        <w:rPr>
          <w:sz w:val="20"/>
        </w:rPr>
      </w:pPr>
    </w:p>
    <w:p w:rsidR="00146E2A" w:rsidRDefault="00146E2A">
      <w:pPr>
        <w:rPr>
          <w:sz w:val="20"/>
        </w:rPr>
      </w:pPr>
    </w:p>
    <w:p w:rsidR="00146E2A" w:rsidRDefault="00146E2A">
      <w:pPr>
        <w:rPr>
          <w:sz w:val="20"/>
        </w:rPr>
      </w:pPr>
    </w:p>
    <w:p w:rsidR="00146E2A" w:rsidRDefault="00146E2A">
      <w:pPr>
        <w:spacing w:before="7"/>
        <w:rPr>
          <w:sz w:val="20"/>
        </w:rPr>
      </w:pPr>
    </w:p>
    <w:p w:rsidR="00146E2A" w:rsidRDefault="006A0F9C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p w:rsidR="00146E2A" w:rsidRDefault="00146E2A">
      <w:pPr>
        <w:spacing w:line="264" w:lineRule="auto"/>
        <w:rPr>
          <w:sz w:val="12"/>
        </w:rPr>
        <w:sectPr w:rsidR="00146E2A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46E2A">
        <w:trPr>
          <w:trHeight w:val="3059"/>
        </w:trPr>
        <w:tc>
          <w:tcPr>
            <w:tcW w:w="10790" w:type="dxa"/>
          </w:tcPr>
          <w:p w:rsidR="00146E2A" w:rsidRDefault="006A0F9C">
            <w:pPr>
              <w:pStyle w:val="TableParagraph"/>
              <w:spacing w:before="34" w:line="254" w:lineRule="auto"/>
              <w:ind w:right="14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lastRenderedPageBreak/>
              <w:t xml:space="preserve">Engage (set up the task): </w:t>
            </w:r>
            <w:r>
              <w:rPr>
                <w:i/>
                <w:color w:val="231F20"/>
                <w:sz w:val="17"/>
              </w:rPr>
              <w:t xml:space="preserve">Exactly how will I elicit prior content knowledge, connect to students’ experiences, and set up the task (to ensure students understand the task without </w:t>
            </w:r>
            <w:proofErr w:type="spellStart"/>
            <w:r>
              <w:rPr>
                <w:i/>
                <w:color w:val="231F20"/>
                <w:sz w:val="17"/>
              </w:rPr>
              <w:t>overscaffolding</w:t>
            </w:r>
            <w:proofErr w:type="spellEnd"/>
            <w:r>
              <w:rPr>
                <w:i/>
                <w:color w:val="231F20"/>
                <w:sz w:val="17"/>
              </w:rPr>
              <w:t xml:space="preserve"> or funneling)?</w:t>
            </w:r>
          </w:p>
        </w:tc>
      </w:tr>
      <w:tr w:rsidR="00146E2A">
        <w:trPr>
          <w:trHeight w:val="3059"/>
        </w:trPr>
        <w:tc>
          <w:tcPr>
            <w:tcW w:w="10790" w:type="dxa"/>
          </w:tcPr>
          <w:p w:rsidR="00146E2A" w:rsidRDefault="006A0F9C">
            <w:pPr>
              <w:pStyle w:val="TableParagraph"/>
              <w:spacing w:before="34" w:line="254" w:lineRule="auto"/>
              <w:ind w:right="1963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Explore (solve the task): </w:t>
            </w:r>
            <w:r>
              <w:rPr>
                <w:i/>
                <w:color w:val="231F20"/>
                <w:sz w:val="17"/>
              </w:rPr>
              <w:t>What questions might I ask individuals or small groups of students that focus on the content and Mathematical Practices?</w:t>
            </w:r>
          </w:p>
        </w:tc>
      </w:tr>
      <w:tr w:rsidR="00146E2A">
        <w:trPr>
          <w:trHeight w:val="3279"/>
        </w:trPr>
        <w:tc>
          <w:tcPr>
            <w:tcW w:w="10790" w:type="dxa"/>
          </w:tcPr>
          <w:p w:rsidR="00146E2A" w:rsidRDefault="006A0F9C">
            <w:pPr>
              <w:pStyle w:val="TableParagraph"/>
              <w:spacing w:before="34" w:line="254" w:lineRule="auto"/>
              <w:ind w:right="2505"/>
              <w:jc w:val="bot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Connect (discuss task and related mathematical concepts): </w:t>
            </w:r>
            <w:r>
              <w:rPr>
                <w:i/>
                <w:color w:val="231F20"/>
                <w:sz w:val="17"/>
              </w:rPr>
              <w:t>What questions and/or activity will engage students in explaining and/or illustrating the concepts of the lesson, as well as provide formative assessment as to who learned what?</w:t>
            </w:r>
          </w:p>
        </w:tc>
      </w:tr>
      <w:tr w:rsidR="00146E2A">
        <w:trPr>
          <w:trHeight w:val="3059"/>
        </w:trPr>
        <w:tc>
          <w:tcPr>
            <w:tcW w:w="10790" w:type="dxa"/>
          </w:tcPr>
          <w:p w:rsidR="00146E2A" w:rsidRDefault="006A0F9C">
            <w:pPr>
              <w:pStyle w:val="TableParagraph"/>
              <w:spacing w:before="34" w:line="254" w:lineRule="auto"/>
              <w:ind w:right="140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Lesson reflections: </w:t>
            </w:r>
            <w:r>
              <w:rPr>
                <w:i/>
                <w:color w:val="231F20"/>
                <w:sz w:val="17"/>
              </w:rPr>
              <w:t>What questions connected to the standards and assessment evidence will I use to reflect on the effectiveness of this lesson?</w:t>
            </w:r>
          </w:p>
        </w:tc>
      </w:tr>
    </w:tbl>
    <w:p w:rsidR="006A0F9C" w:rsidRDefault="006A0F9C"/>
    <w:sectPr w:rsidR="006A0F9C">
      <w:pgSz w:w="12240" w:h="15840"/>
      <w:pgMar w:top="1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052D"/>
    <w:multiLevelType w:val="hybridMultilevel"/>
    <w:tmpl w:val="731A0B1E"/>
    <w:lvl w:ilvl="0" w:tplc="FC0E4674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2A4C32E2">
      <w:numFmt w:val="bullet"/>
      <w:lvlText w:val="•"/>
      <w:lvlJc w:val="left"/>
      <w:pPr>
        <w:ind w:left="970" w:hanging="408"/>
      </w:pPr>
      <w:rPr>
        <w:rFonts w:hint="default"/>
        <w:lang w:val="en-US" w:eastAsia="en-US" w:bidi="en-US"/>
      </w:rPr>
    </w:lvl>
    <w:lvl w:ilvl="2" w:tplc="85D0E9FC">
      <w:numFmt w:val="bullet"/>
      <w:lvlText w:val="•"/>
      <w:lvlJc w:val="left"/>
      <w:pPr>
        <w:ind w:left="1461" w:hanging="408"/>
      </w:pPr>
      <w:rPr>
        <w:rFonts w:hint="default"/>
        <w:lang w:val="en-US" w:eastAsia="en-US" w:bidi="en-US"/>
      </w:rPr>
    </w:lvl>
    <w:lvl w:ilvl="3" w:tplc="09B005C8">
      <w:numFmt w:val="bullet"/>
      <w:lvlText w:val="•"/>
      <w:lvlJc w:val="left"/>
      <w:pPr>
        <w:ind w:left="1951" w:hanging="408"/>
      </w:pPr>
      <w:rPr>
        <w:rFonts w:hint="default"/>
        <w:lang w:val="en-US" w:eastAsia="en-US" w:bidi="en-US"/>
      </w:rPr>
    </w:lvl>
    <w:lvl w:ilvl="4" w:tplc="02D03856">
      <w:numFmt w:val="bullet"/>
      <w:lvlText w:val="•"/>
      <w:lvlJc w:val="left"/>
      <w:pPr>
        <w:ind w:left="2442" w:hanging="408"/>
      </w:pPr>
      <w:rPr>
        <w:rFonts w:hint="default"/>
        <w:lang w:val="en-US" w:eastAsia="en-US" w:bidi="en-US"/>
      </w:rPr>
    </w:lvl>
    <w:lvl w:ilvl="5" w:tplc="9610649E">
      <w:numFmt w:val="bullet"/>
      <w:lvlText w:val="•"/>
      <w:lvlJc w:val="left"/>
      <w:pPr>
        <w:ind w:left="2932" w:hanging="408"/>
      </w:pPr>
      <w:rPr>
        <w:rFonts w:hint="default"/>
        <w:lang w:val="en-US" w:eastAsia="en-US" w:bidi="en-US"/>
      </w:rPr>
    </w:lvl>
    <w:lvl w:ilvl="6" w:tplc="99AE1304">
      <w:numFmt w:val="bullet"/>
      <w:lvlText w:val="•"/>
      <w:lvlJc w:val="left"/>
      <w:pPr>
        <w:ind w:left="3423" w:hanging="408"/>
      </w:pPr>
      <w:rPr>
        <w:rFonts w:hint="default"/>
        <w:lang w:val="en-US" w:eastAsia="en-US" w:bidi="en-US"/>
      </w:rPr>
    </w:lvl>
    <w:lvl w:ilvl="7" w:tplc="EDB61FE4">
      <w:numFmt w:val="bullet"/>
      <w:lvlText w:val="•"/>
      <w:lvlJc w:val="left"/>
      <w:pPr>
        <w:ind w:left="3913" w:hanging="408"/>
      </w:pPr>
      <w:rPr>
        <w:rFonts w:hint="default"/>
        <w:lang w:val="en-US" w:eastAsia="en-US" w:bidi="en-US"/>
      </w:rPr>
    </w:lvl>
    <w:lvl w:ilvl="8" w:tplc="D14CCDB8">
      <w:numFmt w:val="bullet"/>
      <w:lvlText w:val="•"/>
      <w:lvlJc w:val="left"/>
      <w:pPr>
        <w:ind w:left="4404" w:hanging="4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6E2A"/>
    <w:rsid w:val="00146E2A"/>
    <w:rsid w:val="001541EB"/>
    <w:rsid w:val="006A0F9C"/>
    <w:rsid w:val="00E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2018-04-06T15:53:00Z</dcterms:created>
  <dcterms:modified xsi:type="dcterms:W3CDTF">2018-04-10T16:12:00Z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