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39" w:rsidRDefault="000C3379">
      <w:pPr>
        <w:pStyle w:val="BodyText"/>
        <w:ind w:left="96"/>
        <w:rPr>
          <w:rFonts w:ascii="Times"/>
          <w:i w:val="0"/>
          <w:sz w:val="20"/>
        </w:rPr>
      </w:pPr>
      <w:r>
        <w:rPr>
          <w:rFonts w:ascii="Times"/>
          <w:i w:val="0"/>
          <w:sz w:val="20"/>
        </w:rPr>
      </w:r>
      <w:r>
        <w:rPr>
          <w:rFonts w:ascii="Times"/>
          <w:i w:val="0"/>
          <w:sz w:val="20"/>
        </w:rPr>
        <w:pict>
          <v:group id="_x0000_s1026" style="width:539.95pt;height:47.8pt;mso-position-horizontal-relative:char;mso-position-vertical-relative:line" coordorigin=",5" coordsize="10799,956">
            <v:shape id="_x0000_s1031" style="position:absolute;top:55;width:720;height:906" coordorigin=",55" coordsize="720,906" o:spt="100" adj="0,,0" path="m720,55l,55,,961,360,857r360,l720,55xm720,857r-360,l720,961r,-104xe" fillcolor="#6d6e71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7;top:238;width:545;height:500">
              <v:imagedata r:id="rId5" o:title=""/>
            </v:shape>
            <v:line id="_x0000_s1029" style="position:absolute" from="0,5" to="10799,5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80;top:148;width:1077;height:757" filled="f" stroked="f">
              <v:textbox inset="0,0,0,0">
                <w:txbxContent>
                  <w:p w:rsidR="00727E39" w:rsidRPr="000C3379" w:rsidRDefault="00CA5198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0C3379">
                      <w:rPr>
                        <w:color w:val="231F20"/>
                        <w:sz w:val="40"/>
                        <w:szCs w:val="40"/>
                      </w:rPr>
                      <w:t>12.3</w:t>
                    </w:r>
                  </w:p>
                </w:txbxContent>
              </v:textbox>
            </v:shape>
            <v:shape id="_x0000_s1027" type="#_x0000_t202" style="position:absolute;left:1858;top:356;width:5896;height:292" filled="f" stroked="f">
              <v:textbox inset="0,0,0,0">
                <w:txbxContent>
                  <w:p w:rsidR="00727E39" w:rsidRDefault="00CA5198" w:rsidP="000C3379">
                    <w:pPr>
                      <w:ind w:left="284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Professional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 xml:space="preserve">Development Planning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Template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27E39" w:rsidRDefault="00727E39">
      <w:pPr>
        <w:pStyle w:val="BodyText"/>
        <w:spacing w:before="7"/>
        <w:rPr>
          <w:rFonts w:ascii="Times"/>
          <w:i w:val="0"/>
          <w:sz w:val="20"/>
        </w:rPr>
      </w:pPr>
    </w:p>
    <w:tbl>
      <w:tblPr>
        <w:tblW w:w="0" w:type="auto"/>
        <w:tblInd w:w="106" w:type="dxa"/>
        <w:tblBorders>
          <w:top w:val="single" w:sz="4" w:space="0" w:color="008CA7"/>
          <w:left w:val="single" w:sz="4" w:space="0" w:color="008CA7"/>
          <w:bottom w:val="single" w:sz="4" w:space="0" w:color="008CA7"/>
          <w:right w:val="single" w:sz="4" w:space="0" w:color="008CA7"/>
          <w:insideH w:val="single" w:sz="4" w:space="0" w:color="008CA7"/>
          <w:insideV w:val="single" w:sz="4" w:space="0" w:color="008C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3"/>
        <w:gridCol w:w="2749"/>
        <w:gridCol w:w="2749"/>
      </w:tblGrid>
      <w:tr w:rsidR="00727E39">
        <w:trPr>
          <w:trHeight w:val="279"/>
        </w:trPr>
        <w:tc>
          <w:tcPr>
            <w:tcW w:w="8042" w:type="dxa"/>
            <w:gridSpan w:val="2"/>
          </w:tcPr>
          <w:p w:rsidR="00727E39" w:rsidRDefault="00CA5198">
            <w:pPr>
              <w:pStyle w:val="TableParagraph"/>
              <w:spacing w:before="34"/>
              <w:rPr>
                <w:sz w:val="17"/>
              </w:rPr>
            </w:pPr>
            <w:r>
              <w:rPr>
                <w:color w:val="231F20"/>
                <w:sz w:val="17"/>
              </w:rPr>
              <w:t>Professional development focus or topic:</w:t>
            </w:r>
          </w:p>
        </w:tc>
        <w:tc>
          <w:tcPr>
            <w:tcW w:w="2749" w:type="dxa"/>
          </w:tcPr>
          <w:p w:rsidR="00727E39" w:rsidRDefault="00CA5198">
            <w:pPr>
              <w:pStyle w:val="TableParagraph"/>
              <w:spacing w:before="34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>PD date:</w:t>
            </w:r>
          </w:p>
        </w:tc>
      </w:tr>
      <w:tr w:rsidR="00727E39">
        <w:trPr>
          <w:trHeight w:val="279"/>
        </w:trPr>
        <w:tc>
          <w:tcPr>
            <w:tcW w:w="10791" w:type="dxa"/>
            <w:gridSpan w:val="3"/>
          </w:tcPr>
          <w:p w:rsidR="00727E39" w:rsidRDefault="00CA5198">
            <w:pPr>
              <w:pStyle w:val="TableParagraph"/>
              <w:spacing w:before="34"/>
              <w:rPr>
                <w:sz w:val="17"/>
              </w:rPr>
            </w:pPr>
            <w:r>
              <w:rPr>
                <w:color w:val="231F20"/>
                <w:sz w:val="17"/>
              </w:rPr>
              <w:t>Intended audience:</w:t>
            </w:r>
          </w:p>
        </w:tc>
      </w:tr>
      <w:tr w:rsidR="00727E39">
        <w:trPr>
          <w:trHeight w:val="1479"/>
        </w:trPr>
        <w:tc>
          <w:tcPr>
            <w:tcW w:w="10791" w:type="dxa"/>
            <w:gridSpan w:val="3"/>
          </w:tcPr>
          <w:p w:rsidR="00727E39" w:rsidRDefault="00CA5198">
            <w:pPr>
              <w:pStyle w:val="TableParagraph"/>
              <w:spacing w:before="34"/>
              <w:rPr>
                <w:sz w:val="17"/>
              </w:rPr>
            </w:pPr>
            <w:r>
              <w:rPr>
                <w:color w:val="231F20"/>
                <w:sz w:val="17"/>
              </w:rPr>
              <w:t>Outcomes: (What will participants know and be able to do as a result of the training?)</w:t>
            </w:r>
          </w:p>
          <w:p w:rsidR="00727E39" w:rsidRDefault="00727E39">
            <w:pPr>
              <w:pStyle w:val="TableParagraph"/>
              <w:spacing w:before="3"/>
              <w:ind w:left="0"/>
              <w:rPr>
                <w:rFonts w:ascii="Times"/>
                <w:sz w:val="19"/>
              </w:rPr>
            </w:pPr>
          </w:p>
          <w:p w:rsidR="00727E39" w:rsidRDefault="00CA5198">
            <w:pPr>
              <w:pStyle w:val="TableParagraph"/>
              <w:spacing w:before="0"/>
              <w:rPr>
                <w:sz w:val="17"/>
              </w:rPr>
            </w:pPr>
            <w:r>
              <w:rPr>
                <w:color w:val="231F20"/>
                <w:sz w:val="17"/>
              </w:rPr>
              <w:t>•</w:t>
            </w:r>
          </w:p>
          <w:p w:rsidR="00727E39" w:rsidRDefault="00727E39">
            <w:pPr>
              <w:pStyle w:val="TableParagraph"/>
              <w:spacing w:before="3"/>
              <w:ind w:left="0"/>
              <w:rPr>
                <w:rFonts w:ascii="Times"/>
                <w:sz w:val="19"/>
              </w:rPr>
            </w:pPr>
            <w:bookmarkStart w:id="0" w:name="_GoBack"/>
            <w:bookmarkEnd w:id="0"/>
          </w:p>
          <w:p w:rsidR="00727E39" w:rsidRDefault="00CA5198">
            <w:pPr>
              <w:pStyle w:val="TableParagraph"/>
              <w:spacing w:before="1"/>
              <w:rPr>
                <w:sz w:val="17"/>
              </w:rPr>
            </w:pPr>
            <w:r>
              <w:rPr>
                <w:color w:val="231F20"/>
                <w:sz w:val="17"/>
              </w:rPr>
              <w:t>•</w:t>
            </w:r>
          </w:p>
          <w:p w:rsidR="00727E39" w:rsidRDefault="00727E39">
            <w:pPr>
              <w:pStyle w:val="TableParagraph"/>
              <w:spacing w:before="3"/>
              <w:ind w:left="0"/>
              <w:rPr>
                <w:rFonts w:ascii="Times"/>
                <w:sz w:val="19"/>
              </w:rPr>
            </w:pPr>
          </w:p>
          <w:p w:rsidR="00727E39" w:rsidRDefault="00CA5198">
            <w:pPr>
              <w:pStyle w:val="TableParagraph"/>
              <w:spacing w:before="0"/>
              <w:rPr>
                <w:sz w:val="17"/>
              </w:rPr>
            </w:pPr>
            <w:r>
              <w:rPr>
                <w:color w:val="231F20"/>
                <w:sz w:val="17"/>
              </w:rPr>
              <w:t>•</w:t>
            </w:r>
          </w:p>
        </w:tc>
      </w:tr>
      <w:tr w:rsidR="00727E39">
        <w:trPr>
          <w:trHeight w:val="2270"/>
        </w:trPr>
        <w:tc>
          <w:tcPr>
            <w:tcW w:w="5293" w:type="dxa"/>
          </w:tcPr>
          <w:p w:rsidR="00727E39" w:rsidRDefault="00CA5198">
            <w:pPr>
              <w:pStyle w:val="TableParagraph"/>
              <w:spacing w:line="254" w:lineRule="auto"/>
              <w:ind w:left="420" w:hanging="340"/>
              <w:rPr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 xml:space="preserve">1. </w:t>
            </w:r>
            <w:r>
              <w:rPr>
                <w:i/>
                <w:color w:val="231F20"/>
                <w:w w:val="105"/>
                <w:sz w:val="17"/>
              </w:rPr>
              <w:t xml:space="preserve">Opener </w:t>
            </w:r>
            <w:r>
              <w:rPr>
                <w:color w:val="231F20"/>
                <w:w w:val="105"/>
                <w:sz w:val="17"/>
              </w:rPr>
              <w:t>(Brief activity to jump-start thinking and/or interaction among the participants)</w:t>
            </w:r>
          </w:p>
        </w:tc>
        <w:tc>
          <w:tcPr>
            <w:tcW w:w="5498" w:type="dxa"/>
            <w:gridSpan w:val="2"/>
          </w:tcPr>
          <w:p w:rsidR="00727E39" w:rsidRDefault="00CA5198">
            <w:pPr>
              <w:pStyle w:val="TableParagraph"/>
              <w:spacing w:line="254" w:lineRule="auto"/>
              <w:ind w:left="419" w:hanging="340"/>
              <w:rPr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 xml:space="preserve">2. </w:t>
            </w:r>
            <w:r>
              <w:rPr>
                <w:i/>
                <w:color w:val="231F20"/>
                <w:w w:val="105"/>
                <w:sz w:val="17"/>
              </w:rPr>
              <w:t xml:space="preserve">Introduce new content </w:t>
            </w:r>
            <w:r>
              <w:rPr>
                <w:color w:val="231F20"/>
                <w:w w:val="105"/>
                <w:sz w:val="17"/>
              </w:rPr>
              <w:t>(How will participants learn the new material?)</w:t>
            </w:r>
          </w:p>
        </w:tc>
      </w:tr>
      <w:tr w:rsidR="00727E39">
        <w:trPr>
          <w:trHeight w:val="2270"/>
        </w:trPr>
        <w:tc>
          <w:tcPr>
            <w:tcW w:w="10791" w:type="dxa"/>
            <w:gridSpan w:val="3"/>
          </w:tcPr>
          <w:p w:rsidR="00727E39" w:rsidRDefault="00CA5198">
            <w:pPr>
              <w:pStyle w:val="TableParagraph"/>
              <w:spacing w:line="254" w:lineRule="auto"/>
              <w:ind w:left="420" w:right="-1" w:hanging="340"/>
              <w:rPr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 xml:space="preserve">3. </w:t>
            </w:r>
            <w:r>
              <w:rPr>
                <w:i/>
                <w:color w:val="231F20"/>
                <w:w w:val="105"/>
                <w:sz w:val="17"/>
              </w:rPr>
              <w:t xml:space="preserve">Process the learning </w:t>
            </w:r>
            <w:r>
              <w:rPr>
                <w:color w:val="231F20"/>
                <w:w w:val="105"/>
                <w:sz w:val="17"/>
              </w:rPr>
              <w:t>(How will participants process and internalize the new information? What interactive structures can be used?)</w:t>
            </w:r>
          </w:p>
        </w:tc>
      </w:tr>
      <w:tr w:rsidR="00727E39">
        <w:trPr>
          <w:trHeight w:val="2269"/>
        </w:trPr>
        <w:tc>
          <w:tcPr>
            <w:tcW w:w="10791" w:type="dxa"/>
            <w:gridSpan w:val="3"/>
          </w:tcPr>
          <w:p w:rsidR="00727E39" w:rsidRDefault="00CA5198">
            <w:pPr>
              <w:pStyle w:val="TableParagraph"/>
              <w:rPr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 xml:space="preserve">4. </w:t>
            </w:r>
            <w:r>
              <w:rPr>
                <w:i/>
                <w:color w:val="231F20"/>
                <w:w w:val="105"/>
                <w:sz w:val="17"/>
              </w:rPr>
              <w:t xml:space="preserve">Sharing and debriefing the content </w:t>
            </w:r>
            <w:r>
              <w:rPr>
                <w:color w:val="231F20"/>
                <w:w w:val="105"/>
                <w:sz w:val="17"/>
              </w:rPr>
              <w:t>(How will participants share their ideas/reactions to the new material?)</w:t>
            </w:r>
          </w:p>
        </w:tc>
      </w:tr>
      <w:tr w:rsidR="00727E39">
        <w:trPr>
          <w:trHeight w:val="2270"/>
        </w:trPr>
        <w:tc>
          <w:tcPr>
            <w:tcW w:w="5293" w:type="dxa"/>
          </w:tcPr>
          <w:p w:rsidR="00727E39" w:rsidRDefault="00CA5198">
            <w:pPr>
              <w:pStyle w:val="TableParagraph"/>
              <w:spacing w:line="254" w:lineRule="auto"/>
              <w:ind w:left="420" w:hanging="340"/>
              <w:rPr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 xml:space="preserve">5. </w:t>
            </w:r>
            <w:r>
              <w:rPr>
                <w:i/>
                <w:color w:val="231F20"/>
                <w:w w:val="105"/>
                <w:sz w:val="17"/>
              </w:rPr>
              <w:t xml:space="preserve">Reflection and closure </w:t>
            </w:r>
            <w:r>
              <w:rPr>
                <w:color w:val="231F20"/>
                <w:w w:val="105"/>
                <w:sz w:val="17"/>
              </w:rPr>
              <w:t>(How will the learning be summarized and personalized?)</w:t>
            </w:r>
          </w:p>
        </w:tc>
        <w:tc>
          <w:tcPr>
            <w:tcW w:w="5498" w:type="dxa"/>
            <w:gridSpan w:val="2"/>
          </w:tcPr>
          <w:p w:rsidR="00727E39" w:rsidRDefault="00CA5198">
            <w:pPr>
              <w:pStyle w:val="TableParagraph"/>
              <w:spacing w:line="254" w:lineRule="auto"/>
              <w:ind w:left="419" w:hanging="340"/>
              <w:rPr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 xml:space="preserve">6. </w:t>
            </w:r>
            <w:r>
              <w:rPr>
                <w:i/>
                <w:color w:val="231F20"/>
                <w:w w:val="105"/>
                <w:sz w:val="17"/>
              </w:rPr>
              <w:t xml:space="preserve">Follow-up </w:t>
            </w:r>
            <w:r>
              <w:rPr>
                <w:color w:val="231F20"/>
                <w:w w:val="105"/>
                <w:sz w:val="17"/>
              </w:rPr>
              <w:t>(What types of follow-up and support will be provided?)</w:t>
            </w:r>
          </w:p>
        </w:tc>
      </w:tr>
    </w:tbl>
    <w:p w:rsidR="00727E39" w:rsidRDefault="00727E39">
      <w:pPr>
        <w:pStyle w:val="BodyText"/>
        <w:spacing w:before="9"/>
        <w:rPr>
          <w:rFonts w:ascii="Times"/>
          <w:i w:val="0"/>
          <w:sz w:val="15"/>
        </w:rPr>
      </w:pPr>
    </w:p>
    <w:p w:rsidR="00727E39" w:rsidRDefault="00CA5198">
      <w:pPr>
        <w:pStyle w:val="BodyText"/>
        <w:spacing w:line="295" w:lineRule="auto"/>
        <w:ind w:left="101" w:right="117"/>
        <w:jc w:val="both"/>
      </w:pPr>
      <w:r>
        <w:rPr>
          <w:color w:val="231F20"/>
        </w:rPr>
        <w:t xml:space="preserve">Source: Adapted from Maryland State Department of Education. </w:t>
      </w:r>
      <w:proofErr w:type="gramStart"/>
      <w:r>
        <w:rPr>
          <w:color w:val="231F20"/>
        </w:rPr>
        <w:t>(2008). Maryland Teacher Professional Development Planning Guide.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</w:rPr>
        <w:t xml:space="preserve">Retrieved from </w:t>
      </w:r>
      <w:hyperlink r:id="rId6">
        <w:r>
          <w:rPr>
            <w:color w:val="231F20"/>
          </w:rPr>
          <w:t>http://mdk12.org/share/</w:t>
        </w:r>
      </w:hyperlink>
      <w:r>
        <w:rPr>
          <w:color w:val="231F20"/>
        </w:rPr>
        <w:t xml:space="preserve"> </w:t>
      </w:r>
      <w:proofErr w:type="spellStart"/>
      <w:r>
        <w:rPr>
          <w:color w:val="231F20"/>
        </w:rPr>
        <w:t>pdf</w:t>
      </w:r>
      <w:proofErr w:type="spellEnd"/>
      <w:r>
        <w:rPr>
          <w:color w:val="231F20"/>
        </w:rPr>
        <w:t>/MarylandTeacherProfessionalDevelopmentPlanningGuide.pdf.</w:t>
      </w:r>
      <w:proofErr w:type="gramEnd"/>
      <w:r>
        <w:rPr>
          <w:color w:val="231F20"/>
        </w:rPr>
        <w:t xml:space="preserve"> Previously published by Bay-Williams, J., </w:t>
      </w:r>
      <w:proofErr w:type="spellStart"/>
      <w:r>
        <w:rPr>
          <w:color w:val="231F20"/>
        </w:rPr>
        <w:t>McGatha</w:t>
      </w:r>
      <w:proofErr w:type="spellEnd"/>
      <w:r>
        <w:rPr>
          <w:color w:val="231F20"/>
        </w:rPr>
        <w:t xml:space="preserve">, M., </w:t>
      </w:r>
      <w:proofErr w:type="spellStart"/>
      <w:r>
        <w:rPr>
          <w:color w:val="231F20"/>
        </w:rPr>
        <w:t>Kobett</w:t>
      </w:r>
      <w:proofErr w:type="spellEnd"/>
      <w:r>
        <w:rPr>
          <w:color w:val="231F20"/>
        </w:rPr>
        <w:t>, B., and Wray, J. (2014). Mathematics Coaching: Resources and Tools for Coaches and Leaders, K–12. New York, NY: Pearson Education, Inc.</w:t>
      </w:r>
    </w:p>
    <w:p w:rsidR="00727E39" w:rsidRDefault="00727E39">
      <w:pPr>
        <w:spacing w:before="6"/>
        <w:rPr>
          <w:i/>
          <w:sz w:val="23"/>
        </w:rPr>
      </w:pPr>
    </w:p>
    <w:p w:rsidR="00727E39" w:rsidRDefault="00CA5198">
      <w:pPr>
        <w:spacing w:before="101" w:line="264" w:lineRule="auto"/>
        <w:ind w:left="100" w:right="4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7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727E39">
      <w:type w:val="continuous"/>
      <w:pgSz w:w="12240" w:h="15840"/>
      <w:pgMar w:top="9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7E39"/>
    <w:rsid w:val="000C3379"/>
    <w:rsid w:val="00727E39"/>
    <w:rsid w:val="00CA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7"/>
      <w:ind w:left="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win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dk12.org/shar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2018-04-06T17:03:00Z</dcterms:created>
  <dcterms:modified xsi:type="dcterms:W3CDTF">2018-04-10T16:45:00Z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