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29" w:rsidRDefault="00110D48">
      <w:pPr>
        <w:pStyle w:val="BodyText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40pt;height:47.8pt;mso-position-horizontal-relative:char;mso-position-vertical-relative:line" coordorigin=",5" coordsize="10800,956">
            <v:line id="_x0000_s1031" style="position:absolute" from="0,5" to="10800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8;width:964;height:757" filled="f" stroked="f">
              <v:textbox inset="0,0,0,0">
                <w:txbxContent>
                  <w:p w:rsidR="009D0029" w:rsidRPr="00110D48" w:rsidRDefault="0084569F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110D48">
                      <w:rPr>
                        <w:color w:val="231F20"/>
                        <w:sz w:val="40"/>
                        <w:szCs w:val="40"/>
                      </w:rPr>
                      <w:t>10.2</w:t>
                    </w:r>
                  </w:p>
                </w:txbxContent>
              </v:textbox>
            </v:shape>
            <v:shape id="_x0000_s1027" type="#_x0000_t202" style="position:absolute;left:1869;top:356;width:4706;height:292" filled="f" stroked="f">
              <v:textbox inset="0,0,0,0">
                <w:txbxContent>
                  <w:p w:rsidR="009D0029" w:rsidRDefault="0084569F" w:rsidP="00110D48">
                    <w:pPr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Challenges and Support Structures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0029" w:rsidRDefault="0084569F">
      <w:pPr>
        <w:spacing w:before="164"/>
        <w:ind w:left="100"/>
        <w:rPr>
          <w:sz w:val="17"/>
        </w:rPr>
      </w:pPr>
      <w:r>
        <w:rPr>
          <w:color w:val="231F20"/>
          <w:sz w:val="17"/>
        </w:rPr>
        <w:t>Instructions: Discuss ways in which to address specific challenges and incorporate each support structure for a lesson.</w:t>
      </w:r>
    </w:p>
    <w:p w:rsidR="009D0029" w:rsidRDefault="009D0029">
      <w:pPr>
        <w:rPr>
          <w:sz w:val="20"/>
        </w:rPr>
      </w:pPr>
      <w:bookmarkStart w:id="0" w:name="_GoBack"/>
      <w:bookmarkEnd w:id="0"/>
    </w:p>
    <w:p w:rsidR="009D0029" w:rsidRDefault="009D0029">
      <w:pPr>
        <w:spacing w:before="6" w:after="1"/>
        <w:rPr>
          <w:sz w:val="14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4279"/>
        <w:gridCol w:w="6154"/>
      </w:tblGrid>
      <w:tr w:rsidR="009D0029">
        <w:trPr>
          <w:trHeight w:val="290"/>
        </w:trPr>
        <w:tc>
          <w:tcPr>
            <w:tcW w:w="4634" w:type="dxa"/>
            <w:gridSpan w:val="2"/>
            <w:tcBorders>
              <w:top w:val="nil"/>
              <w:left w:val="nil"/>
              <w:bottom w:val="nil"/>
            </w:tcBorders>
            <w:shd w:val="clear" w:color="auto" w:fill="008CA7"/>
          </w:tcPr>
          <w:p w:rsidR="009D0029" w:rsidRDefault="0084569F">
            <w:pPr>
              <w:pStyle w:val="TableParagraph"/>
              <w:ind w:left="1781" w:right="1766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Challenges</w:t>
            </w:r>
          </w:p>
        </w:tc>
        <w:tc>
          <w:tcPr>
            <w:tcW w:w="6154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9D0029" w:rsidRDefault="0084569F">
            <w:pPr>
              <w:pStyle w:val="TableParagraph"/>
              <w:ind w:left="1054" w:right="1047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How I Address/Remove These Challenges</w:t>
            </w:r>
          </w:p>
        </w:tc>
      </w:tr>
      <w:tr w:rsidR="009D0029">
        <w:trPr>
          <w:trHeight w:val="769"/>
        </w:trPr>
        <w:tc>
          <w:tcPr>
            <w:tcW w:w="355" w:type="dxa"/>
            <w:tcBorders>
              <w:top w:val="nil"/>
              <w:left w:val="single" w:sz="4" w:space="0" w:color="008CA7"/>
              <w:bottom w:val="single" w:sz="4" w:space="0" w:color="008CA7"/>
              <w:right w:val="nil"/>
            </w:tcBorders>
          </w:tcPr>
          <w:p w:rsidR="009D0029" w:rsidRDefault="0084569F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1.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008CA7"/>
              <w:right w:val="single" w:sz="4" w:space="0" w:color="008CA7"/>
            </w:tcBorders>
          </w:tcPr>
          <w:p w:rsidR="009D0029" w:rsidRDefault="0084569F">
            <w:pPr>
              <w:pStyle w:val="TableParagraph"/>
              <w:ind w:left="130"/>
              <w:rPr>
                <w:sz w:val="15"/>
              </w:rPr>
            </w:pPr>
            <w:r>
              <w:rPr>
                <w:color w:val="231F20"/>
                <w:sz w:val="15"/>
              </w:rPr>
              <w:t>Memory</w:t>
            </w:r>
          </w:p>
        </w:tc>
        <w:tc>
          <w:tcPr>
            <w:tcW w:w="6154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0029" w:rsidRDefault="009D0029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  <w:tr w:rsidR="009D0029">
        <w:trPr>
          <w:trHeight w:val="770"/>
        </w:trPr>
        <w:tc>
          <w:tcPr>
            <w:tcW w:w="3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nil"/>
            </w:tcBorders>
          </w:tcPr>
          <w:p w:rsidR="009D0029" w:rsidRDefault="0084569F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8CA7"/>
              <w:left w:val="nil"/>
              <w:bottom w:val="single" w:sz="4" w:space="0" w:color="008CA7"/>
              <w:right w:val="single" w:sz="4" w:space="0" w:color="008CA7"/>
            </w:tcBorders>
          </w:tcPr>
          <w:p w:rsidR="009D0029" w:rsidRDefault="0084569F">
            <w:pPr>
              <w:pStyle w:val="TableParagraph"/>
              <w:ind w:left="130"/>
              <w:rPr>
                <w:sz w:val="15"/>
              </w:rPr>
            </w:pPr>
            <w:r>
              <w:rPr>
                <w:color w:val="231F20"/>
                <w:sz w:val="15"/>
              </w:rPr>
              <w:t>Attention</w:t>
            </w:r>
          </w:p>
        </w:tc>
        <w:tc>
          <w:tcPr>
            <w:tcW w:w="615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0029" w:rsidRDefault="009D0029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  <w:tr w:rsidR="009D0029">
        <w:trPr>
          <w:trHeight w:val="770"/>
        </w:trPr>
        <w:tc>
          <w:tcPr>
            <w:tcW w:w="3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nil"/>
            </w:tcBorders>
          </w:tcPr>
          <w:p w:rsidR="009D0029" w:rsidRDefault="0084569F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3.</w:t>
            </w:r>
          </w:p>
        </w:tc>
        <w:tc>
          <w:tcPr>
            <w:tcW w:w="4279" w:type="dxa"/>
            <w:tcBorders>
              <w:top w:val="single" w:sz="4" w:space="0" w:color="008CA7"/>
              <w:left w:val="nil"/>
              <w:bottom w:val="single" w:sz="4" w:space="0" w:color="008CA7"/>
              <w:right w:val="single" w:sz="4" w:space="0" w:color="008CA7"/>
            </w:tcBorders>
          </w:tcPr>
          <w:p w:rsidR="009D0029" w:rsidRDefault="0084569F">
            <w:pPr>
              <w:pStyle w:val="TableParagraph"/>
              <w:spacing w:line="264" w:lineRule="auto"/>
              <w:ind w:left="130" w:right="2425"/>
              <w:rPr>
                <w:sz w:val="15"/>
              </w:rPr>
            </w:pPr>
            <w:r>
              <w:rPr>
                <w:color w:val="231F20"/>
                <w:sz w:val="15"/>
              </w:rPr>
              <w:t>Expressing ideas (verbally or in writing)</w:t>
            </w:r>
          </w:p>
        </w:tc>
        <w:tc>
          <w:tcPr>
            <w:tcW w:w="615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0029" w:rsidRDefault="009D0029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  <w:tr w:rsidR="009D0029">
        <w:trPr>
          <w:trHeight w:val="769"/>
        </w:trPr>
        <w:tc>
          <w:tcPr>
            <w:tcW w:w="3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nil"/>
            </w:tcBorders>
          </w:tcPr>
          <w:p w:rsidR="009D0029" w:rsidRDefault="0084569F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4.</w:t>
            </w:r>
          </w:p>
        </w:tc>
        <w:tc>
          <w:tcPr>
            <w:tcW w:w="4279" w:type="dxa"/>
            <w:tcBorders>
              <w:top w:val="single" w:sz="4" w:space="0" w:color="008CA7"/>
              <w:left w:val="nil"/>
              <w:bottom w:val="single" w:sz="4" w:space="0" w:color="008CA7"/>
              <w:right w:val="single" w:sz="4" w:space="0" w:color="008CA7"/>
            </w:tcBorders>
          </w:tcPr>
          <w:p w:rsidR="009D0029" w:rsidRDefault="0084569F">
            <w:pPr>
              <w:pStyle w:val="TableParagraph"/>
              <w:ind w:left="130"/>
              <w:rPr>
                <w:sz w:val="15"/>
              </w:rPr>
            </w:pPr>
            <w:r>
              <w:rPr>
                <w:color w:val="231F20"/>
                <w:sz w:val="15"/>
              </w:rPr>
              <w:t>Auditory, visual,</w:t>
            </w:r>
          </w:p>
          <w:p w:rsidR="009D0029" w:rsidRDefault="0084569F">
            <w:pPr>
              <w:pStyle w:val="TableParagraph"/>
              <w:spacing w:before="17"/>
              <w:ind w:left="130"/>
              <w:rPr>
                <w:sz w:val="15"/>
              </w:rPr>
            </w:pPr>
            <w:r>
              <w:rPr>
                <w:color w:val="231F20"/>
                <w:sz w:val="15"/>
              </w:rPr>
              <w:t>or written perception</w:t>
            </w:r>
          </w:p>
        </w:tc>
        <w:tc>
          <w:tcPr>
            <w:tcW w:w="615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0029" w:rsidRDefault="009D0029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  <w:tr w:rsidR="009D0029">
        <w:trPr>
          <w:trHeight w:val="770"/>
        </w:trPr>
        <w:tc>
          <w:tcPr>
            <w:tcW w:w="3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nil"/>
            </w:tcBorders>
          </w:tcPr>
          <w:p w:rsidR="009D0029" w:rsidRDefault="0084569F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5.</w:t>
            </w:r>
          </w:p>
        </w:tc>
        <w:tc>
          <w:tcPr>
            <w:tcW w:w="4279" w:type="dxa"/>
            <w:tcBorders>
              <w:top w:val="single" w:sz="4" w:space="0" w:color="008CA7"/>
              <w:left w:val="nil"/>
              <w:bottom w:val="single" w:sz="4" w:space="0" w:color="008CA7"/>
              <w:right w:val="single" w:sz="4" w:space="0" w:color="008CA7"/>
            </w:tcBorders>
          </w:tcPr>
          <w:p w:rsidR="009D0029" w:rsidRDefault="0084569F">
            <w:pPr>
              <w:pStyle w:val="TableParagraph"/>
              <w:ind w:left="130"/>
              <w:rPr>
                <w:sz w:val="15"/>
              </w:rPr>
            </w:pPr>
            <w:r>
              <w:rPr>
                <w:color w:val="231F20"/>
                <w:sz w:val="15"/>
              </w:rPr>
              <w:t>Comprehension of abstract ideas</w:t>
            </w:r>
          </w:p>
        </w:tc>
        <w:tc>
          <w:tcPr>
            <w:tcW w:w="615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0029" w:rsidRDefault="009D0029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  <w:tr w:rsidR="009D0029">
        <w:trPr>
          <w:trHeight w:val="769"/>
        </w:trPr>
        <w:tc>
          <w:tcPr>
            <w:tcW w:w="4634" w:type="dxa"/>
            <w:gridSpan w:val="2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0029" w:rsidRDefault="0084569F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Additional challenge(s):</w:t>
            </w:r>
          </w:p>
        </w:tc>
        <w:tc>
          <w:tcPr>
            <w:tcW w:w="615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0029" w:rsidRDefault="009D0029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  <w:tr w:rsidR="009D0029">
        <w:trPr>
          <w:trHeight w:val="280"/>
        </w:trPr>
        <w:tc>
          <w:tcPr>
            <w:tcW w:w="4634" w:type="dxa"/>
            <w:gridSpan w:val="2"/>
            <w:tcBorders>
              <w:top w:val="nil"/>
              <w:left w:val="nil"/>
              <w:bottom w:val="nil"/>
            </w:tcBorders>
            <w:shd w:val="clear" w:color="auto" w:fill="008CA7"/>
          </w:tcPr>
          <w:p w:rsidR="009D0029" w:rsidRDefault="0084569F">
            <w:pPr>
              <w:pStyle w:val="TableParagraph"/>
              <w:spacing w:before="34"/>
              <w:ind w:left="1393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Support Structures</w:t>
            </w:r>
          </w:p>
        </w:tc>
        <w:tc>
          <w:tcPr>
            <w:tcW w:w="6154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9D0029" w:rsidRDefault="0084569F">
            <w:pPr>
              <w:pStyle w:val="TableParagraph"/>
              <w:spacing w:before="34"/>
              <w:ind w:left="1054" w:right="1047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How I Add/Enhance These Structures</w:t>
            </w:r>
          </w:p>
        </w:tc>
      </w:tr>
      <w:tr w:rsidR="009D0029">
        <w:trPr>
          <w:trHeight w:val="769"/>
        </w:trPr>
        <w:tc>
          <w:tcPr>
            <w:tcW w:w="3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nil"/>
            </w:tcBorders>
          </w:tcPr>
          <w:p w:rsidR="009D0029" w:rsidRDefault="0084569F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1.</w:t>
            </w:r>
          </w:p>
        </w:tc>
        <w:tc>
          <w:tcPr>
            <w:tcW w:w="4279" w:type="dxa"/>
            <w:tcBorders>
              <w:top w:val="single" w:sz="4" w:space="0" w:color="008CA7"/>
              <w:left w:val="nil"/>
              <w:bottom w:val="single" w:sz="4" w:space="0" w:color="008CA7"/>
              <w:right w:val="single" w:sz="4" w:space="0" w:color="008CA7"/>
            </w:tcBorders>
          </w:tcPr>
          <w:p w:rsidR="009D0029" w:rsidRDefault="0084569F">
            <w:pPr>
              <w:pStyle w:val="TableParagraph"/>
              <w:ind w:left="130"/>
              <w:rPr>
                <w:sz w:val="15"/>
              </w:rPr>
            </w:pPr>
            <w:r>
              <w:rPr>
                <w:color w:val="231F20"/>
                <w:sz w:val="15"/>
              </w:rPr>
              <w:t>Give clear instructions and expectations.</w:t>
            </w:r>
          </w:p>
        </w:tc>
        <w:tc>
          <w:tcPr>
            <w:tcW w:w="615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0029" w:rsidRDefault="009D0029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  <w:tr w:rsidR="009D0029">
        <w:trPr>
          <w:trHeight w:val="770"/>
        </w:trPr>
        <w:tc>
          <w:tcPr>
            <w:tcW w:w="3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nil"/>
            </w:tcBorders>
          </w:tcPr>
          <w:p w:rsidR="009D0029" w:rsidRDefault="0084569F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8CA7"/>
              <w:left w:val="nil"/>
              <w:bottom w:val="single" w:sz="4" w:space="0" w:color="008CA7"/>
              <w:right w:val="single" w:sz="4" w:space="0" w:color="008CA7"/>
            </w:tcBorders>
          </w:tcPr>
          <w:p w:rsidR="009D0029" w:rsidRDefault="0084569F">
            <w:pPr>
              <w:pStyle w:val="TableParagraph"/>
              <w:spacing w:line="264" w:lineRule="auto"/>
              <w:ind w:left="130" w:right="182"/>
              <w:rPr>
                <w:sz w:val="15"/>
              </w:rPr>
            </w:pPr>
            <w:r>
              <w:rPr>
                <w:color w:val="231F20"/>
                <w:sz w:val="15"/>
              </w:rPr>
              <w:t>Provide visual displays and handouts that help organize thinking without having too</w:t>
            </w:r>
          </w:p>
          <w:p w:rsidR="009D0029" w:rsidRDefault="0084569F">
            <w:pPr>
              <w:pStyle w:val="TableParagraph"/>
              <w:spacing w:before="0" w:line="181" w:lineRule="exact"/>
              <w:ind w:left="130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much</w:t>
            </w:r>
            <w:proofErr w:type="gramEnd"/>
            <w:r>
              <w:rPr>
                <w:color w:val="231F20"/>
                <w:sz w:val="15"/>
              </w:rPr>
              <w:t xml:space="preserve"> information.</w:t>
            </w:r>
          </w:p>
        </w:tc>
        <w:tc>
          <w:tcPr>
            <w:tcW w:w="615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0029" w:rsidRDefault="009D0029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  <w:tr w:rsidR="009D0029">
        <w:trPr>
          <w:trHeight w:val="770"/>
        </w:trPr>
        <w:tc>
          <w:tcPr>
            <w:tcW w:w="3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nil"/>
            </w:tcBorders>
          </w:tcPr>
          <w:p w:rsidR="009D0029" w:rsidRDefault="0084569F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3.</w:t>
            </w:r>
          </w:p>
        </w:tc>
        <w:tc>
          <w:tcPr>
            <w:tcW w:w="4279" w:type="dxa"/>
            <w:tcBorders>
              <w:top w:val="single" w:sz="4" w:space="0" w:color="008CA7"/>
              <w:left w:val="nil"/>
              <w:bottom w:val="single" w:sz="4" w:space="0" w:color="008CA7"/>
              <w:right w:val="single" w:sz="4" w:space="0" w:color="008CA7"/>
            </w:tcBorders>
          </w:tcPr>
          <w:p w:rsidR="009D0029" w:rsidRDefault="0084569F">
            <w:pPr>
              <w:pStyle w:val="TableParagraph"/>
              <w:spacing w:line="264" w:lineRule="auto"/>
              <w:ind w:left="130" w:right="182"/>
              <w:rPr>
                <w:sz w:val="15"/>
              </w:rPr>
            </w:pPr>
            <w:r>
              <w:rPr>
                <w:color w:val="231F20"/>
                <w:sz w:val="15"/>
              </w:rPr>
              <w:t>Organize writing (and speaking) about processes and mathematical concepts.</w:t>
            </w:r>
          </w:p>
        </w:tc>
        <w:tc>
          <w:tcPr>
            <w:tcW w:w="615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0029" w:rsidRDefault="009D0029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  <w:tr w:rsidR="009D0029">
        <w:trPr>
          <w:trHeight w:val="770"/>
        </w:trPr>
        <w:tc>
          <w:tcPr>
            <w:tcW w:w="3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nil"/>
            </w:tcBorders>
          </w:tcPr>
          <w:p w:rsidR="009D0029" w:rsidRDefault="0084569F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4.</w:t>
            </w:r>
          </w:p>
        </w:tc>
        <w:tc>
          <w:tcPr>
            <w:tcW w:w="4279" w:type="dxa"/>
            <w:tcBorders>
              <w:top w:val="single" w:sz="4" w:space="0" w:color="008CA7"/>
              <w:left w:val="nil"/>
              <w:bottom w:val="single" w:sz="4" w:space="0" w:color="008CA7"/>
              <w:right w:val="single" w:sz="4" w:space="0" w:color="008CA7"/>
            </w:tcBorders>
          </w:tcPr>
          <w:p w:rsidR="009D0029" w:rsidRDefault="0084569F">
            <w:pPr>
              <w:pStyle w:val="TableParagraph"/>
              <w:spacing w:line="264" w:lineRule="auto"/>
              <w:ind w:left="130"/>
              <w:rPr>
                <w:sz w:val="15"/>
              </w:rPr>
            </w:pPr>
            <w:r>
              <w:rPr>
                <w:color w:val="231F20"/>
                <w:sz w:val="15"/>
              </w:rPr>
              <w:t>Explicitly connect ideas (to previous learning, to familiar examples, and between concrete and abstract).</w:t>
            </w:r>
          </w:p>
        </w:tc>
        <w:tc>
          <w:tcPr>
            <w:tcW w:w="615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0029" w:rsidRDefault="009D0029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  <w:tr w:rsidR="009D0029">
        <w:trPr>
          <w:trHeight w:val="770"/>
        </w:trPr>
        <w:tc>
          <w:tcPr>
            <w:tcW w:w="3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nil"/>
            </w:tcBorders>
          </w:tcPr>
          <w:p w:rsidR="009D0029" w:rsidRDefault="0084569F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5.</w:t>
            </w:r>
          </w:p>
        </w:tc>
        <w:tc>
          <w:tcPr>
            <w:tcW w:w="4279" w:type="dxa"/>
            <w:tcBorders>
              <w:top w:val="single" w:sz="4" w:space="0" w:color="008CA7"/>
              <w:left w:val="nil"/>
              <w:bottom w:val="single" w:sz="4" w:space="0" w:color="008CA7"/>
              <w:right w:val="single" w:sz="4" w:space="0" w:color="008CA7"/>
            </w:tcBorders>
          </w:tcPr>
          <w:p w:rsidR="009D0029" w:rsidRDefault="0084569F">
            <w:pPr>
              <w:pStyle w:val="TableParagraph"/>
              <w:spacing w:line="264" w:lineRule="auto"/>
              <w:ind w:left="130"/>
              <w:rPr>
                <w:sz w:val="15"/>
              </w:rPr>
            </w:pPr>
            <w:r>
              <w:rPr>
                <w:color w:val="231F20"/>
                <w:sz w:val="15"/>
              </w:rPr>
              <w:t>Include self-reflection, self-assessment, and self- monitoring.</w:t>
            </w:r>
          </w:p>
        </w:tc>
        <w:tc>
          <w:tcPr>
            <w:tcW w:w="615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0029" w:rsidRDefault="009D0029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  <w:tr w:rsidR="009D0029">
        <w:trPr>
          <w:trHeight w:val="770"/>
        </w:trPr>
        <w:tc>
          <w:tcPr>
            <w:tcW w:w="3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nil"/>
            </w:tcBorders>
          </w:tcPr>
          <w:p w:rsidR="009D0029" w:rsidRDefault="0084569F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6.</w:t>
            </w:r>
          </w:p>
        </w:tc>
        <w:tc>
          <w:tcPr>
            <w:tcW w:w="4279" w:type="dxa"/>
            <w:tcBorders>
              <w:top w:val="single" w:sz="4" w:space="0" w:color="008CA7"/>
              <w:left w:val="nil"/>
              <w:bottom w:val="single" w:sz="4" w:space="0" w:color="008CA7"/>
              <w:right w:val="single" w:sz="4" w:space="0" w:color="008CA7"/>
            </w:tcBorders>
          </w:tcPr>
          <w:p w:rsidR="009D0029" w:rsidRDefault="0084569F">
            <w:pPr>
              <w:pStyle w:val="TableParagraph"/>
              <w:spacing w:line="264" w:lineRule="auto"/>
              <w:ind w:left="130" w:right="2019"/>
              <w:rPr>
                <w:sz w:val="15"/>
              </w:rPr>
            </w:pPr>
            <w:r>
              <w:rPr>
                <w:color w:val="231F20"/>
                <w:sz w:val="15"/>
              </w:rPr>
              <w:t>Use support staff, including co-teaching.</w:t>
            </w:r>
          </w:p>
        </w:tc>
        <w:tc>
          <w:tcPr>
            <w:tcW w:w="615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0029" w:rsidRDefault="009D0029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  <w:tr w:rsidR="009D0029">
        <w:trPr>
          <w:trHeight w:val="770"/>
        </w:trPr>
        <w:tc>
          <w:tcPr>
            <w:tcW w:w="4634" w:type="dxa"/>
            <w:gridSpan w:val="2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0029" w:rsidRDefault="0084569F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Additional support structure(s):</w:t>
            </w:r>
          </w:p>
        </w:tc>
        <w:tc>
          <w:tcPr>
            <w:tcW w:w="615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0029" w:rsidRDefault="009D0029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</w:tbl>
    <w:p w:rsidR="009D0029" w:rsidRDefault="0084569F">
      <w:pPr>
        <w:pStyle w:val="BodyText"/>
        <w:spacing w:before="59" w:line="295" w:lineRule="auto"/>
        <w:ind w:left="100"/>
      </w:pPr>
      <w:r>
        <w:rPr>
          <w:color w:val="231F20"/>
        </w:rPr>
        <w:t xml:space="preserve">Previously published by Bay-Williams, J., </w:t>
      </w:r>
      <w:proofErr w:type="spellStart"/>
      <w:r>
        <w:rPr>
          <w:color w:val="231F20"/>
        </w:rPr>
        <w:t>McGatha</w:t>
      </w:r>
      <w:proofErr w:type="spellEnd"/>
      <w:r>
        <w:rPr>
          <w:color w:val="231F20"/>
        </w:rPr>
        <w:t xml:space="preserve">, M., </w:t>
      </w:r>
      <w:proofErr w:type="spellStart"/>
      <w:r>
        <w:rPr>
          <w:color w:val="231F20"/>
        </w:rPr>
        <w:t>Kobett</w:t>
      </w:r>
      <w:proofErr w:type="spellEnd"/>
      <w:r>
        <w:rPr>
          <w:color w:val="231F20"/>
        </w:rPr>
        <w:t xml:space="preserve">, B., and </w:t>
      </w:r>
      <w:r>
        <w:rPr>
          <w:color w:val="231F20"/>
          <w:spacing w:val="-3"/>
        </w:rPr>
        <w:t xml:space="preserve">Wray, </w:t>
      </w:r>
      <w:r>
        <w:rPr>
          <w:color w:val="231F20"/>
        </w:rPr>
        <w:t xml:space="preserve">J. </w:t>
      </w:r>
      <w:r>
        <w:rPr>
          <w:color w:val="231F20"/>
          <w:spacing w:val="-4"/>
        </w:rPr>
        <w:t xml:space="preserve">(2014). </w:t>
      </w:r>
      <w:r>
        <w:rPr>
          <w:color w:val="231F20"/>
        </w:rPr>
        <w:t>Mathematics Coaching: Resources and Tools for Coaches and Leaders,</w:t>
      </w:r>
      <w:r>
        <w:rPr>
          <w:color w:val="231F20"/>
          <w:spacing w:val="-5"/>
        </w:rPr>
        <w:t xml:space="preserve"> K–12. </w:t>
      </w:r>
      <w:r>
        <w:rPr>
          <w:color w:val="231F20"/>
        </w:rPr>
        <w:t xml:space="preserve">New York, </w:t>
      </w:r>
      <w:r>
        <w:rPr>
          <w:color w:val="231F20"/>
          <w:spacing w:val="-3"/>
        </w:rPr>
        <w:t xml:space="preserve">NY: </w:t>
      </w:r>
      <w:r>
        <w:rPr>
          <w:color w:val="231F20"/>
        </w:rPr>
        <w:t>Pearson Education, Inc.</w:t>
      </w:r>
    </w:p>
    <w:p w:rsidR="009D0029" w:rsidRDefault="009D0029">
      <w:pPr>
        <w:spacing w:before="1"/>
        <w:rPr>
          <w:i/>
          <w:sz w:val="10"/>
        </w:rPr>
      </w:pPr>
    </w:p>
    <w:p w:rsidR="009D0029" w:rsidRDefault="0084569F">
      <w:pPr>
        <w:spacing w:before="100" w:line="264" w:lineRule="auto"/>
        <w:ind w:left="10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9D0029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0029"/>
    <w:rsid w:val="00110D48"/>
    <w:rsid w:val="0084569F"/>
    <w:rsid w:val="009D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wi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2018-04-06T16:53:00Z</dcterms:created>
  <dcterms:modified xsi:type="dcterms:W3CDTF">2018-04-10T16:42:00Z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