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6F" w:rsidRPr="005A7014" w:rsidRDefault="005A7014">
      <w:pPr>
        <w:spacing w:before="45"/>
        <w:ind w:left="100"/>
        <w:rPr>
          <w:rFonts w:eastAsia="Arial Narrow" w:cs="Arial Narrow"/>
          <w:sz w:val="24"/>
          <w:szCs w:val="24"/>
        </w:rPr>
      </w:pPr>
      <w:r w:rsidRPr="005A7014">
        <w:rPr>
          <w:b/>
          <w:color w:val="6D6E71"/>
          <w:sz w:val="24"/>
        </w:rPr>
        <w:t>Planning: Hinge Question Considerations Tool</w:t>
      </w:r>
    </w:p>
    <w:p w:rsidR="008D096F" w:rsidRPr="005A7014" w:rsidRDefault="008D096F">
      <w:pPr>
        <w:rPr>
          <w:rFonts w:eastAsia="Arial Narrow" w:cs="Arial Narrow"/>
          <w:b/>
          <w:bCs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0"/>
        <w:gridCol w:w="1200"/>
        <w:gridCol w:w="1200"/>
      </w:tblGrid>
      <w:tr w:rsidR="008D096F" w:rsidRPr="00070F98">
        <w:trPr>
          <w:trHeight w:hRule="exact" w:val="430"/>
        </w:trPr>
        <w:tc>
          <w:tcPr>
            <w:tcW w:w="983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b/>
                <w:color w:val="231F20"/>
              </w:rPr>
              <w:t>Date:</w:t>
            </w:r>
          </w:p>
        </w:tc>
      </w:tr>
      <w:tr w:rsidR="008D096F" w:rsidRPr="00070F98">
        <w:trPr>
          <w:trHeight w:hRule="exact" w:val="2530"/>
        </w:trPr>
        <w:tc>
          <w:tcPr>
            <w:tcW w:w="9830" w:type="dxa"/>
            <w:gridSpan w:val="3"/>
            <w:tcBorders>
              <w:top w:val="single" w:sz="8" w:space="0" w:color="A7A9AC"/>
              <w:left w:val="single" w:sz="8" w:space="0" w:color="A7A9AC"/>
              <w:bottom w:val="nil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b/>
                <w:color w:val="231F20"/>
              </w:rPr>
              <w:t>Hinge Question:</w:t>
            </w:r>
          </w:p>
        </w:tc>
      </w:tr>
      <w:tr w:rsidR="008D096F" w:rsidRPr="00070F98">
        <w:trPr>
          <w:trHeight w:hRule="exact" w:val="446"/>
        </w:trPr>
        <w:tc>
          <w:tcPr>
            <w:tcW w:w="743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8D096F" w:rsidRPr="00070F98" w:rsidRDefault="008D096F">
            <w:pPr>
              <w:rPr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8D096F" w:rsidRPr="00070F98" w:rsidRDefault="005A7014">
            <w:pPr>
              <w:pStyle w:val="TableParagraph"/>
              <w:spacing w:before="82"/>
              <w:jc w:val="center"/>
              <w:rPr>
                <w:rFonts w:eastAsia="Arial Narrow" w:cs="Arial Narrow"/>
                <w:sz w:val="24"/>
                <w:szCs w:val="26"/>
              </w:rPr>
            </w:pPr>
            <w:r w:rsidRPr="00070F98">
              <w:rPr>
                <w:b/>
                <w:color w:val="FFFFFF"/>
                <w:sz w:val="24"/>
              </w:rPr>
              <w:t>Yes</w:t>
            </w:r>
          </w:p>
        </w:tc>
        <w:tc>
          <w:tcPr>
            <w:tcW w:w="1200" w:type="dxa"/>
            <w:tcBorders>
              <w:top w:val="nil"/>
              <w:left w:val="single" w:sz="8" w:space="0" w:color="A7A9AC"/>
              <w:bottom w:val="nil"/>
              <w:right w:val="single" w:sz="8" w:space="0" w:color="A7A9AC"/>
            </w:tcBorders>
            <w:shd w:val="clear" w:color="auto" w:fill="808285"/>
          </w:tcPr>
          <w:p w:rsidR="008D096F" w:rsidRPr="00070F98" w:rsidRDefault="005A7014">
            <w:pPr>
              <w:pStyle w:val="TableParagraph"/>
              <w:spacing w:before="82"/>
              <w:ind w:left="1"/>
              <w:jc w:val="center"/>
              <w:rPr>
                <w:rFonts w:eastAsia="Arial Narrow" w:cs="Arial Narrow"/>
                <w:sz w:val="24"/>
                <w:szCs w:val="26"/>
              </w:rPr>
            </w:pPr>
            <w:r w:rsidRPr="00070F98">
              <w:rPr>
                <w:b/>
                <w:color w:val="FFFFFF"/>
                <w:sz w:val="24"/>
              </w:rPr>
              <w:t>No</w:t>
            </w:r>
          </w:p>
        </w:tc>
      </w:tr>
      <w:tr w:rsidR="008D096F" w:rsidRPr="00070F98">
        <w:trPr>
          <w:trHeight w:hRule="exact" w:val="730"/>
        </w:trPr>
        <w:tc>
          <w:tcPr>
            <w:tcW w:w="743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85" w:line="261" w:lineRule="auto"/>
              <w:ind w:left="110" w:right="640"/>
              <w:rPr>
                <w:rFonts w:eastAsia="Arial Narrow" w:cs="Arial Narrow"/>
                <w:szCs w:val="24"/>
              </w:rPr>
            </w:pPr>
            <w:r w:rsidRPr="00070F98">
              <w:rPr>
                <w:color w:val="231F20"/>
              </w:rPr>
              <w:t>Will the hinge question assess important mathematical understandings of the day?</w:t>
            </w:r>
          </w:p>
        </w:tc>
        <w:tc>
          <w:tcPr>
            <w:tcW w:w="120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  <w:tc>
          <w:tcPr>
            <w:tcW w:w="1200" w:type="dxa"/>
            <w:tcBorders>
              <w:top w:val="nil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</w:tr>
      <w:tr w:rsidR="008D096F" w:rsidRPr="00070F98">
        <w:trPr>
          <w:trHeight w:hRule="exact" w:val="430"/>
        </w:trPr>
        <w:tc>
          <w:tcPr>
            <w:tcW w:w="743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color w:val="231F20"/>
              </w:rPr>
              <w:t>Will students understand the question?</w:t>
            </w:r>
          </w:p>
        </w:tc>
        <w:tc>
          <w:tcPr>
            <w:tcW w:w="120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  <w:tc>
          <w:tcPr>
            <w:tcW w:w="120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</w:tr>
      <w:tr w:rsidR="008D096F" w:rsidRPr="00070F98">
        <w:trPr>
          <w:trHeight w:hRule="exact" w:val="430"/>
        </w:trPr>
        <w:tc>
          <w:tcPr>
            <w:tcW w:w="743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color w:val="231F20"/>
              </w:rPr>
              <w:t>Will students be able to respond in about a minute?</w:t>
            </w:r>
          </w:p>
        </w:tc>
        <w:tc>
          <w:tcPr>
            <w:tcW w:w="120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  <w:tc>
          <w:tcPr>
            <w:tcW w:w="120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</w:tr>
      <w:tr w:rsidR="008D096F" w:rsidRPr="00070F98">
        <w:trPr>
          <w:trHeight w:hRule="exact" w:val="730"/>
        </w:trPr>
        <w:tc>
          <w:tcPr>
            <w:tcW w:w="743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75" w:line="261" w:lineRule="auto"/>
              <w:ind w:left="110" w:right="1380"/>
              <w:rPr>
                <w:rFonts w:eastAsia="Arial Narrow" w:cs="Arial Narrow"/>
                <w:szCs w:val="24"/>
              </w:rPr>
            </w:pPr>
            <w:r w:rsidRPr="00070F98">
              <w:rPr>
                <w:color w:val="231F20"/>
              </w:rPr>
              <w:t>Will expected responses be such that they can be analyzed and interpreted quickly?</w:t>
            </w:r>
          </w:p>
        </w:tc>
        <w:tc>
          <w:tcPr>
            <w:tcW w:w="120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  <w:tc>
          <w:tcPr>
            <w:tcW w:w="1200" w:type="dxa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8D096F"/>
        </w:tc>
      </w:tr>
      <w:tr w:rsidR="008D096F" w:rsidRPr="00070F98">
        <w:trPr>
          <w:trHeight w:hRule="exact" w:val="5770"/>
        </w:trPr>
        <w:tc>
          <w:tcPr>
            <w:tcW w:w="9830" w:type="dxa"/>
            <w:gridSpan w:val="3"/>
            <w:tcBorders>
              <w:top w:val="single" w:sz="8" w:space="0" w:color="A7A9AC"/>
              <w:left w:val="single" w:sz="8" w:space="0" w:color="A7A9AC"/>
              <w:bottom w:val="single" w:sz="8" w:space="0" w:color="A7A9AC"/>
              <w:right w:val="single" w:sz="8" w:space="0" w:color="A7A9AC"/>
            </w:tcBorders>
          </w:tcPr>
          <w:p w:rsidR="008D096F" w:rsidRPr="00070F98" w:rsidRDefault="005A7014">
            <w:pPr>
              <w:pStyle w:val="TableParagraph"/>
              <w:spacing w:before="75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rFonts w:eastAsia="Arial Narrow" w:cs="Arial Narrow"/>
                <w:b/>
                <w:bCs/>
                <w:color w:val="231F20"/>
                <w:szCs w:val="24"/>
              </w:rPr>
              <w:t>General Consideration: Will responses assist in shaping planning for tomorrow’s lesson?</w:t>
            </w:r>
          </w:p>
          <w:p w:rsidR="008D096F" w:rsidRPr="00070F98" w:rsidRDefault="005A7014">
            <w:pPr>
              <w:pStyle w:val="TableParagraph"/>
              <w:tabs>
                <w:tab w:val="left" w:pos="1549"/>
                <w:tab w:val="left" w:pos="2989"/>
                <w:tab w:val="left" w:pos="3759"/>
              </w:tabs>
              <w:spacing w:before="144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color w:val="231F20"/>
              </w:rPr>
              <w:t>Circle one:</w:t>
            </w:r>
            <w:r w:rsidRPr="00070F98">
              <w:rPr>
                <w:color w:val="231F20"/>
              </w:rPr>
              <w:tab/>
              <w:t>Yes</w:t>
            </w:r>
            <w:r w:rsidRPr="00070F98">
              <w:rPr>
                <w:color w:val="231F20"/>
              </w:rPr>
              <w:tab/>
              <w:t>No</w:t>
            </w:r>
            <w:r w:rsidRPr="00070F98">
              <w:rPr>
                <w:color w:val="231F20"/>
              </w:rPr>
              <w:tab/>
              <w:t>(If no, revise hinge question)</w:t>
            </w:r>
          </w:p>
          <w:p w:rsidR="008D096F" w:rsidRPr="00070F98" w:rsidRDefault="008D096F" w:rsidP="005A7014">
            <w:pPr>
              <w:pStyle w:val="TableParagraph"/>
              <w:ind w:left="180"/>
              <w:rPr>
                <w:rFonts w:eastAsia="Arial Narrow" w:cs="Arial Narrow"/>
                <w:b/>
                <w:bCs/>
                <w:szCs w:val="24"/>
              </w:rPr>
            </w:pPr>
          </w:p>
          <w:p w:rsidR="008D096F" w:rsidRPr="00070F98" w:rsidRDefault="008D096F" w:rsidP="005A7014">
            <w:pPr>
              <w:pStyle w:val="TableParagraph"/>
              <w:ind w:left="180"/>
              <w:rPr>
                <w:rFonts w:eastAsia="Arial Narrow" w:cs="Arial Narrow"/>
                <w:b/>
                <w:bCs/>
                <w:szCs w:val="24"/>
              </w:rPr>
            </w:pPr>
          </w:p>
          <w:p w:rsidR="008D096F" w:rsidRPr="00070F98" w:rsidRDefault="005A7014">
            <w:pPr>
              <w:pStyle w:val="TableParagraph"/>
              <w:spacing w:before="194"/>
              <w:ind w:left="110"/>
              <w:rPr>
                <w:rFonts w:eastAsia="Arial Narrow" w:cs="Arial Narrow"/>
                <w:szCs w:val="24"/>
              </w:rPr>
            </w:pPr>
            <w:r w:rsidRPr="00070F98">
              <w:rPr>
                <w:b/>
                <w:color w:val="231F20"/>
              </w:rPr>
              <w:t>How?</w:t>
            </w:r>
            <w:bookmarkStart w:id="0" w:name="_GoBack"/>
            <w:bookmarkEnd w:id="0"/>
          </w:p>
        </w:tc>
      </w:tr>
    </w:tbl>
    <w:p w:rsidR="008D096F" w:rsidRPr="005A7014" w:rsidRDefault="005A7014" w:rsidP="005A7014">
      <w:pPr>
        <w:pStyle w:val="BodyText"/>
        <w:rPr>
          <w:rFonts w:asciiTheme="minorHAnsi" w:hAnsiTheme="minorHAnsi" w:cs="Arial"/>
        </w:rPr>
      </w:pPr>
      <w:r w:rsidRPr="005A7014">
        <w:rPr>
          <w:rFonts w:asciiTheme="minorHAnsi" w:hAnsiTheme="minorHAnsi"/>
          <w:i/>
          <w:color w:val="231F20"/>
        </w:rPr>
        <w:t xml:space="preserve">Source: </w:t>
      </w:r>
      <w:r w:rsidRPr="005A7014">
        <w:rPr>
          <w:rFonts w:asciiTheme="minorHAnsi" w:hAnsiTheme="minorHAnsi"/>
          <w:color w:val="231F20"/>
        </w:rPr>
        <w:t xml:space="preserve">Fennell, F., </w:t>
      </w:r>
      <w:proofErr w:type="spellStart"/>
      <w:r w:rsidRPr="005A7014">
        <w:rPr>
          <w:rFonts w:asciiTheme="minorHAnsi" w:hAnsiTheme="minorHAnsi"/>
          <w:color w:val="231F20"/>
        </w:rPr>
        <w:t>Kobett</w:t>
      </w:r>
      <w:proofErr w:type="spellEnd"/>
      <w:r w:rsidRPr="005A7014">
        <w:rPr>
          <w:rFonts w:asciiTheme="minorHAnsi" w:hAnsiTheme="minorHAnsi"/>
          <w:color w:val="231F20"/>
        </w:rPr>
        <w:t>, B., &amp; Wray, J. (2015). Classroom-based formative assessments: Guiding teaching and learning. In</w:t>
      </w:r>
      <w:r>
        <w:rPr>
          <w:rFonts w:asciiTheme="minorHAnsi" w:hAnsiTheme="minorHAnsi"/>
          <w:color w:val="231F20"/>
        </w:rPr>
        <w:t xml:space="preserve"> </w:t>
      </w:r>
      <w:r w:rsidRPr="005A7014">
        <w:rPr>
          <w:rFonts w:asciiTheme="minorHAnsi" w:hAnsiTheme="minorHAnsi" w:cs="Arial"/>
          <w:color w:val="231F20"/>
        </w:rPr>
        <w:t xml:space="preserve">C. </w:t>
      </w:r>
      <w:proofErr w:type="spellStart"/>
      <w:r w:rsidRPr="005A7014">
        <w:rPr>
          <w:rFonts w:asciiTheme="minorHAnsi" w:hAnsiTheme="minorHAnsi" w:cs="Arial"/>
          <w:color w:val="231F20"/>
        </w:rPr>
        <w:t>Suurtamm</w:t>
      </w:r>
      <w:proofErr w:type="spellEnd"/>
      <w:r w:rsidRPr="005A7014">
        <w:rPr>
          <w:rFonts w:asciiTheme="minorHAnsi" w:hAnsiTheme="minorHAnsi" w:cs="Arial"/>
          <w:color w:val="231F20"/>
        </w:rPr>
        <w:t xml:space="preserve"> (Ed.) &amp; A. McDuffie (Series Ed.), </w:t>
      </w:r>
      <w:r w:rsidRPr="005A7014">
        <w:rPr>
          <w:rFonts w:asciiTheme="minorHAnsi" w:hAnsiTheme="minorHAnsi" w:cs="Arial"/>
          <w:i/>
          <w:color w:val="231F20"/>
        </w:rPr>
        <w:t xml:space="preserve">Annual perspectives in mathematics education: Assessment to enhance teaching and learning </w:t>
      </w:r>
      <w:r w:rsidRPr="005A7014">
        <w:rPr>
          <w:rFonts w:asciiTheme="minorHAnsi" w:hAnsiTheme="minorHAnsi" w:cs="Arial"/>
          <w:color w:val="231F20"/>
        </w:rPr>
        <w:t>(pp. 51–62). Reston, VA: National Council of Teachers of Mathematics. Republished with permission of the National Council of Teachers of Mathematics; permission conveyed through Copyright Clearance Center, Inc.</w:t>
      </w:r>
    </w:p>
    <w:p w:rsidR="008D096F" w:rsidRPr="005A7014" w:rsidRDefault="005A7014">
      <w:pPr>
        <w:spacing w:before="118" w:line="312" w:lineRule="auto"/>
        <w:ind w:left="100" w:right="338"/>
        <w:rPr>
          <w:rFonts w:eastAsia="Arial" w:cs="Arial"/>
          <w:sz w:val="12"/>
          <w:szCs w:val="12"/>
        </w:rPr>
      </w:pPr>
      <w:proofErr w:type="gramStart"/>
      <w:r w:rsidRPr="005A7014">
        <w:rPr>
          <w:color w:val="231F20"/>
          <w:sz w:val="12"/>
        </w:rPr>
        <w:t xml:space="preserve">Retrieved from the companion website for </w:t>
      </w:r>
      <w:r w:rsidRPr="005A7014">
        <w:rPr>
          <w:i/>
          <w:color w:val="231F20"/>
          <w:sz w:val="12"/>
        </w:rPr>
        <w:t xml:space="preserve">The Formative 5: Everyday Assessment Techniques for Every Math Classroom </w:t>
      </w:r>
      <w:r w:rsidRPr="005A7014">
        <w:rPr>
          <w:color w:val="231F20"/>
          <w:sz w:val="12"/>
        </w:rPr>
        <w:t xml:space="preserve">by Francis (Skip) Fennell, Beth McCord </w:t>
      </w:r>
      <w:proofErr w:type="spellStart"/>
      <w:r w:rsidRPr="005A7014">
        <w:rPr>
          <w:color w:val="231F20"/>
          <w:sz w:val="12"/>
        </w:rPr>
        <w:t>Kobett</w:t>
      </w:r>
      <w:proofErr w:type="spellEnd"/>
      <w:r w:rsidRPr="005A7014">
        <w:rPr>
          <w:color w:val="231F20"/>
          <w:sz w:val="12"/>
        </w:rPr>
        <w:t>, and Jonathan A. Wray.</w:t>
      </w:r>
      <w:proofErr w:type="gramEnd"/>
      <w:r w:rsidRPr="005A7014">
        <w:rPr>
          <w:color w:val="231F20"/>
          <w:sz w:val="12"/>
        </w:rPr>
        <w:t xml:space="preserve"> Thousand Oaks, CA: Corwin, </w:t>
      </w:r>
      <w:hyperlink r:id="rId5">
        <w:r w:rsidRPr="005A7014">
          <w:rPr>
            <w:color w:val="231F20"/>
            <w:sz w:val="12"/>
          </w:rPr>
          <w:t>www.corwin.com.</w:t>
        </w:r>
      </w:hyperlink>
      <w:r w:rsidRPr="005A7014">
        <w:rPr>
          <w:color w:val="231F20"/>
          <w:sz w:val="12"/>
        </w:rPr>
        <w:t xml:space="preserve"> Reproduction authorized only for the local school site or nonprofit organization that has purchased this book.</w:t>
      </w:r>
    </w:p>
    <w:sectPr w:rsidR="008D096F" w:rsidRPr="005A7014">
      <w:type w:val="continuous"/>
      <w:pgSz w:w="12240" w:h="15840"/>
      <w:pgMar w:top="1120" w:right="11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096F"/>
    <w:rsid w:val="00070F98"/>
    <w:rsid w:val="005A7014"/>
    <w:rsid w:val="008D096F"/>
    <w:rsid w:val="00C1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0"/>
      <w:ind w:left="10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Birdsall</cp:lastModifiedBy>
  <cp:revision>4</cp:revision>
  <dcterms:created xsi:type="dcterms:W3CDTF">2016-12-15T09:31:00Z</dcterms:created>
  <dcterms:modified xsi:type="dcterms:W3CDTF">2016-12-15T18:18:00Z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LastSaved">
    <vt:filetime>2016-12-15T00:00:00Z</vt:filetime>
  </property>
</Properties>
</file>