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651" w:rsidRPr="00222651" w:rsidRDefault="00222651" w:rsidP="00222651">
      <w:pPr>
        <w:rPr>
          <w:rFonts w:cstheme="minorHAnsi"/>
          <w:b/>
        </w:rPr>
      </w:pPr>
      <w:r w:rsidRPr="00222651">
        <w:rPr>
          <w:rFonts w:cstheme="minorHAnsi"/>
          <w:b/>
        </w:rPr>
        <w:t xml:space="preserve">Title: </w:t>
      </w:r>
      <w:r w:rsidRPr="00222651">
        <w:rPr>
          <w:rFonts w:cstheme="minorHAnsi"/>
          <w:color w:val="000000"/>
          <w:shd w:val="clear" w:color="auto" w:fill="FFFFFF"/>
        </w:rPr>
        <w:t>The Learning Power Approach</w:t>
      </w:r>
    </w:p>
    <w:p w:rsidR="00222651" w:rsidRPr="00222651" w:rsidRDefault="00222651" w:rsidP="00222651">
      <w:pPr>
        <w:rPr>
          <w:rFonts w:cstheme="minorHAnsi"/>
          <w:b/>
        </w:rPr>
      </w:pPr>
      <w:r w:rsidRPr="00222651">
        <w:rPr>
          <w:rFonts w:cstheme="minorHAnsi"/>
          <w:b/>
        </w:rPr>
        <w:t xml:space="preserve">Subtitle: </w:t>
      </w:r>
      <w:r w:rsidRPr="00222651">
        <w:rPr>
          <w:rFonts w:cstheme="minorHAnsi"/>
          <w:color w:val="000000"/>
          <w:shd w:val="clear" w:color="auto" w:fill="FFFFFF"/>
        </w:rPr>
        <w:t>Teaching Learners to Teach Themselves</w:t>
      </w:r>
    </w:p>
    <w:p w:rsidR="00222651" w:rsidRPr="00222651" w:rsidRDefault="00222651" w:rsidP="00222651">
      <w:pPr>
        <w:rPr>
          <w:rFonts w:eastAsia="Times New Roman" w:cstheme="minorHAnsi"/>
        </w:rPr>
      </w:pPr>
      <w:r w:rsidRPr="00222651">
        <w:rPr>
          <w:rFonts w:cstheme="minorHAnsi"/>
          <w:b/>
        </w:rPr>
        <w:t xml:space="preserve">Author(s): </w:t>
      </w:r>
      <w:r w:rsidRPr="00222651">
        <w:rPr>
          <w:rFonts w:eastAsia="Times New Roman" w:cstheme="minorHAnsi"/>
        </w:rPr>
        <w:t>Guy Claxton</w:t>
      </w:r>
    </w:p>
    <w:p w:rsidR="00222651" w:rsidRPr="00222651" w:rsidRDefault="00222651" w:rsidP="00222651">
      <w:pPr>
        <w:rPr>
          <w:rFonts w:cstheme="minorHAnsi"/>
          <w:b/>
        </w:rPr>
      </w:pPr>
      <w:r w:rsidRPr="00222651">
        <w:rPr>
          <w:rFonts w:cstheme="minorHAnsi"/>
          <w:b/>
        </w:rPr>
        <w:t xml:space="preserve">ISBN: </w:t>
      </w:r>
      <w:r w:rsidRPr="00222651">
        <w:rPr>
          <w:rFonts w:cstheme="minorHAnsi"/>
          <w:color w:val="000000"/>
          <w:shd w:val="clear" w:color="auto" w:fill="FFFFFF"/>
        </w:rPr>
        <w:t>978-1-5063-8870-0</w:t>
      </w:r>
    </w:p>
    <w:p w:rsidR="00222651" w:rsidRPr="00222651" w:rsidRDefault="00222651" w:rsidP="00222651">
      <w:pPr>
        <w:rPr>
          <w:rFonts w:cstheme="minorHAnsi"/>
          <w:b/>
        </w:rPr>
      </w:pPr>
      <w:r w:rsidRPr="00222651">
        <w:rPr>
          <w:rFonts w:cstheme="minorHAnsi"/>
          <w:b/>
        </w:rPr>
        <w:t xml:space="preserve">List Price: </w:t>
      </w:r>
      <w:r w:rsidRPr="00222651">
        <w:rPr>
          <w:rFonts w:cstheme="minorHAnsi"/>
          <w:color w:val="000000"/>
          <w:shd w:val="clear" w:color="auto" w:fill="FFFFFF"/>
        </w:rPr>
        <w:t>$22.95</w:t>
      </w:r>
    </w:p>
    <w:p w:rsidR="00222651" w:rsidRPr="00222651" w:rsidRDefault="00222651" w:rsidP="00222651">
      <w:pPr>
        <w:rPr>
          <w:rFonts w:cstheme="minorHAnsi"/>
          <w:b/>
        </w:rPr>
      </w:pPr>
      <w:r w:rsidRPr="00222651">
        <w:rPr>
          <w:rFonts w:cstheme="minorHAnsi"/>
          <w:b/>
        </w:rPr>
        <w:t xml:space="preserve">Subject Line: </w:t>
      </w:r>
      <w:r w:rsidRPr="00222651">
        <w:rPr>
          <w:rFonts w:cstheme="minorHAnsi"/>
        </w:rPr>
        <w:t>A positive mind impacts a positive classroom!</w:t>
      </w:r>
    </w:p>
    <w:p w:rsidR="00222651" w:rsidRPr="00222651" w:rsidRDefault="00222651" w:rsidP="00222651">
      <w:pPr>
        <w:rPr>
          <w:rFonts w:cstheme="minorHAnsi"/>
          <w:b/>
        </w:rPr>
      </w:pPr>
      <w:r w:rsidRPr="00222651">
        <w:rPr>
          <w:rFonts w:cstheme="minorHAnsi"/>
          <w:b/>
        </w:rPr>
        <w:t xml:space="preserve">Teaser Line: </w:t>
      </w:r>
      <w:r w:rsidRPr="00222651">
        <w:rPr>
          <w:rFonts w:cstheme="minorHAnsi"/>
        </w:rPr>
        <w:t>Learn how to integrate this mantra into you every day lesson plan.</w:t>
      </w:r>
    </w:p>
    <w:p w:rsidR="00222651" w:rsidRPr="00222651" w:rsidRDefault="00222651" w:rsidP="00222651">
      <w:pPr>
        <w:rPr>
          <w:rFonts w:cstheme="minorHAnsi"/>
          <w:b/>
        </w:rPr>
      </w:pPr>
      <w:r w:rsidRPr="00222651">
        <w:rPr>
          <w:rFonts w:cstheme="minorHAnsi"/>
          <w:b/>
        </w:rPr>
        <w:t xml:space="preserve">Headline: </w:t>
      </w:r>
      <w:r w:rsidRPr="00222651">
        <w:rPr>
          <w:rFonts w:cstheme="minorHAnsi"/>
        </w:rPr>
        <w:t>Learning is learnable!</w:t>
      </w:r>
    </w:p>
    <w:p w:rsidR="0034445E" w:rsidRPr="00222651" w:rsidRDefault="00222651" w:rsidP="00222651">
      <w:pPr>
        <w:rPr>
          <w:rFonts w:cstheme="minorHAnsi"/>
          <w:color w:val="FF0000"/>
        </w:rPr>
      </w:pPr>
      <w:r w:rsidRPr="00222651">
        <w:rPr>
          <w:rFonts w:cstheme="minorHAnsi"/>
          <w:b/>
        </w:rPr>
        <w:t xml:space="preserve">Body Copy: </w:t>
      </w:r>
      <w:r w:rsidRPr="00222651">
        <w:rPr>
          <w:rFonts w:cstheme="minorHAnsi"/>
          <w:color w:val="FF0000"/>
        </w:rPr>
        <w:t>(Book cover image right-side of copy)</w:t>
      </w:r>
    </w:p>
    <w:p w:rsidR="00222651" w:rsidRPr="00222651" w:rsidRDefault="00222651" w:rsidP="00222651">
      <w:pPr>
        <w:rPr>
          <w:rFonts w:cstheme="minorHAnsi"/>
          <w:u w:val="single"/>
        </w:rPr>
      </w:pPr>
      <w:r w:rsidRPr="00222651">
        <w:rPr>
          <w:rFonts w:cstheme="minorHAnsi"/>
          <w:u w:val="single"/>
        </w:rPr>
        <w:t>Buy Today! (Call to action)</w:t>
      </w:r>
    </w:p>
    <w:p w:rsidR="00222651" w:rsidRPr="00222651" w:rsidRDefault="00222651" w:rsidP="00222651">
      <w:pPr>
        <w:rPr>
          <w:rFonts w:eastAsia="Times New Roman" w:cstheme="minorHAnsi"/>
        </w:rPr>
      </w:pPr>
      <w:r w:rsidRPr="00222651">
        <w:rPr>
          <w:rFonts w:eastAsia="Times New Roman" w:cstheme="minorHAnsi"/>
        </w:rPr>
        <w:t xml:space="preserve">Educators can explicitly teach learning attitudes and habits of mind. Guy Claxton’s powerful resource will help teachers understand how ‘every lesson, every day’ shapes the way students see themselves as learners. Readers will find: </w:t>
      </w:r>
    </w:p>
    <w:p w:rsidR="00222651" w:rsidRPr="00222651" w:rsidRDefault="00222651" w:rsidP="00222651">
      <w:pPr>
        <w:rPr>
          <w:rFonts w:eastAsia="Times New Roman" w:cstheme="minorHAnsi"/>
        </w:rPr>
      </w:pPr>
      <w:r w:rsidRPr="00222651">
        <w:rPr>
          <w:rFonts w:eastAsia="Times New Roman" w:cstheme="minorHAnsi"/>
        </w:rPr>
        <w:t xml:space="preserve"> </w:t>
      </w:r>
    </w:p>
    <w:p w:rsidR="00222651" w:rsidRPr="00222651" w:rsidRDefault="00222651" w:rsidP="00222651">
      <w:pPr>
        <w:ind w:left="720"/>
        <w:rPr>
          <w:rFonts w:eastAsia="Times New Roman" w:cstheme="minorHAnsi"/>
        </w:rPr>
      </w:pPr>
      <w:r w:rsidRPr="00222651">
        <w:rPr>
          <w:rFonts w:eastAsia="Times New Roman" w:cstheme="minorHAnsi"/>
        </w:rPr>
        <w:t xml:space="preserve">• </w:t>
      </w:r>
      <w:r w:rsidR="00086B63" w:rsidRPr="00222651">
        <w:rPr>
          <w:rFonts w:eastAsia="Times New Roman" w:cstheme="minorHAnsi"/>
        </w:rPr>
        <w:t>Approaches</w:t>
      </w:r>
      <w:r w:rsidRPr="00222651">
        <w:rPr>
          <w:rFonts w:eastAsia="Times New Roman" w:cstheme="minorHAnsi"/>
        </w:rPr>
        <w:t xml:space="preserve"> focused on building character alongside knowledge acquisition</w:t>
      </w:r>
    </w:p>
    <w:p w:rsidR="00222651" w:rsidRPr="00222651" w:rsidRDefault="00222651" w:rsidP="00222651">
      <w:pPr>
        <w:ind w:left="720"/>
        <w:rPr>
          <w:rFonts w:eastAsia="Times New Roman" w:cstheme="minorHAnsi"/>
        </w:rPr>
      </w:pPr>
      <w:r w:rsidRPr="00222651">
        <w:rPr>
          <w:rFonts w:eastAsia="Times New Roman" w:cstheme="minorHAnsi"/>
        </w:rPr>
        <w:t xml:space="preserve">• </w:t>
      </w:r>
      <w:r w:rsidR="00086B63" w:rsidRPr="00222651">
        <w:rPr>
          <w:rFonts w:eastAsia="Times New Roman" w:cstheme="minorHAnsi"/>
        </w:rPr>
        <w:t>Cognitive</w:t>
      </w:r>
      <w:r w:rsidRPr="00222651">
        <w:rPr>
          <w:rFonts w:eastAsia="Times New Roman" w:cstheme="minorHAnsi"/>
        </w:rPr>
        <w:t>, social and neuroscientific supportive evidence</w:t>
      </w:r>
    </w:p>
    <w:p w:rsidR="00222651" w:rsidRPr="00222651" w:rsidRDefault="00222651" w:rsidP="00222651">
      <w:pPr>
        <w:ind w:left="720"/>
        <w:rPr>
          <w:rFonts w:eastAsia="Times New Roman" w:cstheme="minorHAnsi"/>
        </w:rPr>
      </w:pPr>
      <w:r w:rsidRPr="00222651">
        <w:rPr>
          <w:rFonts w:eastAsia="Times New Roman" w:cstheme="minorHAnsi"/>
        </w:rPr>
        <w:t xml:space="preserve">• </w:t>
      </w:r>
      <w:r w:rsidR="00086B63" w:rsidRPr="00222651">
        <w:rPr>
          <w:rFonts w:eastAsia="Times New Roman" w:cstheme="minorHAnsi"/>
        </w:rPr>
        <w:t>Practical</w:t>
      </w:r>
      <w:r w:rsidRPr="00222651">
        <w:rPr>
          <w:rFonts w:eastAsia="Times New Roman" w:cstheme="minorHAnsi"/>
        </w:rPr>
        <w:t xml:space="preserve"> illustrations and strategies</w:t>
      </w:r>
    </w:p>
    <w:p w:rsidR="00222651" w:rsidRPr="00222651" w:rsidRDefault="00222651" w:rsidP="00222651">
      <w:pPr>
        <w:rPr>
          <w:rFonts w:cstheme="minorHAnsi"/>
        </w:rPr>
      </w:pPr>
      <w:r w:rsidRPr="00222651">
        <w:rPr>
          <w:rFonts w:cstheme="minorHAnsi"/>
          <w:b/>
        </w:rPr>
        <w:t>Author headline:</w:t>
      </w:r>
      <w:r w:rsidRPr="00222651">
        <w:rPr>
          <w:rFonts w:cstheme="minorHAnsi"/>
        </w:rPr>
        <w:t xml:space="preserve"> More </w:t>
      </w:r>
      <w:proofErr w:type="gramStart"/>
      <w:r w:rsidRPr="00222651">
        <w:rPr>
          <w:rFonts w:cstheme="minorHAnsi"/>
        </w:rPr>
        <w:t>About</w:t>
      </w:r>
      <w:proofErr w:type="gramEnd"/>
      <w:r w:rsidRPr="00222651">
        <w:rPr>
          <w:rFonts w:cstheme="minorHAnsi"/>
        </w:rPr>
        <w:t xml:space="preserve"> The Author</w:t>
      </w:r>
    </w:p>
    <w:p w:rsidR="00086B63" w:rsidRDefault="00222651" w:rsidP="00222651">
      <w:pPr>
        <w:rPr>
          <w:rFonts w:cstheme="minorHAnsi"/>
        </w:rPr>
      </w:pPr>
      <w:r w:rsidRPr="00222651">
        <w:rPr>
          <w:rFonts w:cstheme="minorHAnsi"/>
          <w:b/>
        </w:rPr>
        <w:t>Short Bio Copy:</w:t>
      </w:r>
      <w:r w:rsidRPr="00222651">
        <w:rPr>
          <w:rFonts w:cstheme="minorHAnsi"/>
        </w:rPr>
        <w:t xml:space="preserve"> </w:t>
      </w:r>
      <w:r w:rsidR="00086B63">
        <w:rPr>
          <w:rFonts w:cstheme="minorHAnsi"/>
          <w:color w:val="FF0000"/>
          <w:shd w:val="clear" w:color="auto" w:fill="FFFFFF"/>
        </w:rPr>
        <w:t>(Author image right-side of copy)</w:t>
      </w:r>
    </w:p>
    <w:p w:rsidR="00222651" w:rsidRPr="00222651" w:rsidRDefault="00222651" w:rsidP="00222651">
      <w:pPr>
        <w:rPr>
          <w:rFonts w:cstheme="minorHAnsi"/>
        </w:rPr>
      </w:pPr>
      <w:r w:rsidRPr="00222651">
        <w:rPr>
          <w:rFonts w:cstheme="minorHAnsi"/>
        </w:rPr>
        <w:t xml:space="preserve">Guy Claxton is Professor of the Learning Sciences at the University </w:t>
      </w:r>
      <w:bookmarkStart w:id="0" w:name="_GoBack"/>
      <w:bookmarkEnd w:id="0"/>
      <w:r w:rsidR="00C22433" w:rsidRPr="00222651">
        <w:rPr>
          <w:rFonts w:cstheme="minorHAnsi"/>
        </w:rPr>
        <w:t>Of Bristol Graduate School Of</w:t>
      </w:r>
      <w:r w:rsidRPr="00222651">
        <w:rPr>
          <w:rFonts w:cstheme="minorHAnsi"/>
        </w:rPr>
        <w:t xml:space="preserve"> Education, where he directs the research initiative on Culture, Learning, Identity and </w:t>
      </w:r>
      <w:r w:rsidR="00C22433" w:rsidRPr="00222651">
        <w:rPr>
          <w:rFonts w:cstheme="minorHAnsi"/>
        </w:rPr>
        <w:t>Organizations</w:t>
      </w:r>
      <w:r w:rsidRPr="00222651">
        <w:rPr>
          <w:rFonts w:cstheme="minorHAnsi"/>
        </w:rPr>
        <w:t xml:space="preserve"> (CLIO). His current work focuses on the development of infused approaches to the cultivation of positive lifelong learning dispositions in schools.</w:t>
      </w:r>
    </w:p>
    <w:sectPr w:rsidR="00222651" w:rsidRPr="00222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51"/>
    <w:rsid w:val="00086B63"/>
    <w:rsid w:val="00222651"/>
    <w:rsid w:val="0034445E"/>
    <w:rsid w:val="00C2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3968D-13A0-470F-A6FC-57F53763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00172">
      <w:bodyDiv w:val="1"/>
      <w:marLeft w:val="0"/>
      <w:marRight w:val="0"/>
      <w:marTop w:val="0"/>
      <w:marBottom w:val="0"/>
      <w:divBdr>
        <w:top w:val="none" w:sz="0" w:space="0" w:color="auto"/>
        <w:left w:val="none" w:sz="0" w:space="0" w:color="auto"/>
        <w:bottom w:val="none" w:sz="0" w:space="0" w:color="auto"/>
        <w:right w:val="none" w:sz="0" w:space="0" w:color="auto"/>
      </w:divBdr>
    </w:div>
    <w:div w:id="130635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3</cp:revision>
  <dcterms:created xsi:type="dcterms:W3CDTF">2017-12-01T21:34:00Z</dcterms:created>
  <dcterms:modified xsi:type="dcterms:W3CDTF">2017-12-29T00:16:00Z</dcterms:modified>
</cp:coreProperties>
</file>