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5F" w:rsidRPr="00D82BC0" w:rsidRDefault="0092145F" w:rsidP="00BA7424">
      <w:pPr>
        <w:pStyle w:val="FeatureHeader"/>
        <w:spacing w:after="0" w:line="240" w:lineRule="atLeast"/>
        <w:ind w:right="91"/>
        <w:rPr>
          <w:rStyle w:val="FigureNumber"/>
          <w:caps/>
          <w:color w:val="05B69F"/>
          <w:sz w:val="34"/>
        </w:rPr>
      </w:pPr>
      <w:bookmarkStart w:id="0" w:name="_GoBack"/>
      <w:bookmarkEnd w:id="0"/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92145F" w:rsidRDefault="0092145F" w:rsidP="00BA7424">
      <w:pPr>
        <w:pStyle w:val="Body"/>
        <w:spacing w:after="0"/>
        <w:rPr>
          <w:rFonts w:ascii="Proxima Nova Rg" w:hAnsi="Proxima Nova Rg"/>
          <w:spacing w:val="-4"/>
        </w:rPr>
      </w:pPr>
      <w:r w:rsidRPr="0092145F">
        <w:rPr>
          <w:rFonts w:ascii="Proxima Nova Rg" w:hAnsi="Proxima Nova Rg"/>
          <w:spacing w:val="-4"/>
        </w:rPr>
        <w:t xml:space="preserve">Finally, using your own standard, fill in the following template, including assessment </w:t>
      </w:r>
      <w:r w:rsidR="003F11A8">
        <w:rPr>
          <w:rFonts w:ascii="Proxima Nova Rg" w:hAnsi="Proxima Nova Rg"/>
          <w:spacing w:val="-4"/>
        </w:rPr>
        <w:br/>
      </w:r>
      <w:r w:rsidRPr="0092145F">
        <w:rPr>
          <w:rFonts w:ascii="Proxima Nova Rg" w:hAnsi="Proxima Nova Rg"/>
          <w:spacing w:val="-4"/>
        </w:rPr>
        <w:t>formats and details.</w:t>
      </w:r>
    </w:p>
    <w:p w:rsidR="0092145F" w:rsidRDefault="0092145F" w:rsidP="0092145F">
      <w:pPr>
        <w:pStyle w:val="TableBegin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5"/>
        <w:gridCol w:w="4884"/>
      </w:tblGrid>
      <w:tr w:rsidR="0092145F" w:rsidRPr="0092145F" w:rsidTr="00C10535">
        <w:trPr>
          <w:trHeight w:val="60"/>
        </w:trPr>
        <w:tc>
          <w:tcPr>
            <w:tcW w:w="976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145F" w:rsidRPr="00C10535" w:rsidRDefault="0092145F" w:rsidP="0092145F">
            <w:pPr>
              <w:pStyle w:val="ModelingGradeSubheader"/>
              <w:rPr>
                <w:color w:val="05B69F"/>
              </w:rPr>
            </w:pPr>
            <w:r w:rsidRPr="00C10535">
              <w:rPr>
                <w:color w:val="05B69F"/>
              </w:rPr>
              <w:t>Standard(s) to Be Assessed:</w:t>
            </w:r>
          </w:p>
          <w:p w:rsidR="0092145F" w:rsidRDefault="0092145F" w:rsidP="0092145F">
            <w:pPr>
              <w:pStyle w:val="TB"/>
            </w:pPr>
          </w:p>
          <w:p w:rsidR="0092145F" w:rsidRDefault="0092145F" w:rsidP="0092145F">
            <w:pPr>
              <w:pStyle w:val="TB"/>
            </w:pPr>
          </w:p>
          <w:p w:rsidR="0092145F" w:rsidRDefault="0092145F" w:rsidP="0092145F">
            <w:pPr>
              <w:pStyle w:val="TB"/>
            </w:pPr>
          </w:p>
          <w:p w:rsidR="0092145F" w:rsidRDefault="0092145F" w:rsidP="0092145F">
            <w:pPr>
              <w:pStyle w:val="Bodymodel"/>
              <w:pBdr>
                <w:bottom w:val="none" w:sz="0" w:space="0" w:color="auto"/>
              </w:pBdr>
            </w:pPr>
            <w:r>
              <w:t xml:space="preserve"> </w:t>
            </w:r>
          </w:p>
        </w:tc>
      </w:tr>
      <w:tr w:rsidR="0092145F" w:rsidRPr="0092145F" w:rsidTr="00C10535">
        <w:trPr>
          <w:trHeight w:val="60"/>
        </w:trPr>
        <w:tc>
          <w:tcPr>
            <w:tcW w:w="4885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145F" w:rsidRPr="00C10535" w:rsidRDefault="0092145F" w:rsidP="00412866">
            <w:pPr>
              <w:pStyle w:val="ModelingGradeSubheader"/>
              <w:rPr>
                <w:color w:val="05B69F"/>
              </w:rPr>
            </w:pPr>
            <w:r w:rsidRPr="00C10535">
              <w:rPr>
                <w:color w:val="05B69F"/>
              </w:rPr>
              <w:t>Key Concepts to Be Assessed:</w:t>
            </w:r>
          </w:p>
          <w:p w:rsidR="0092145F" w:rsidRDefault="0092145F" w:rsidP="00412866">
            <w:pPr>
              <w:pStyle w:val="ModelingGradeSubheader"/>
            </w:pPr>
          </w:p>
        </w:tc>
        <w:tc>
          <w:tcPr>
            <w:tcW w:w="4884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145F" w:rsidRPr="00C10535" w:rsidRDefault="0092145F" w:rsidP="00412866">
            <w:pPr>
              <w:pStyle w:val="ModelingGradeSubheader"/>
              <w:rPr>
                <w:color w:val="05B69F"/>
              </w:rPr>
            </w:pPr>
            <w:r w:rsidRPr="00C10535">
              <w:rPr>
                <w:color w:val="05B69F"/>
              </w:rPr>
              <w:t>Key Skills to Be Assessed:</w:t>
            </w: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</w:tc>
      </w:tr>
      <w:tr w:rsidR="0092145F" w:rsidRPr="0092145F" w:rsidTr="00C10535">
        <w:trPr>
          <w:trHeight w:val="60"/>
        </w:trPr>
        <w:tc>
          <w:tcPr>
            <w:tcW w:w="976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145F" w:rsidRPr="00C10535" w:rsidRDefault="0092145F" w:rsidP="0092145F">
            <w:pPr>
              <w:pStyle w:val="Modelheadrule"/>
              <w:pBdr>
                <w:top w:val="none" w:sz="0" w:space="0" w:color="auto"/>
              </w:pBdr>
              <w:rPr>
                <w:color w:val="05B69F"/>
              </w:rPr>
            </w:pPr>
            <w:r w:rsidRPr="00C10535">
              <w:rPr>
                <w:color w:val="05B69F"/>
              </w:rPr>
              <w:t>Learning Progressions to Frame the Assessment:</w:t>
            </w: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  <w:p w:rsidR="0092145F" w:rsidRDefault="0092145F" w:rsidP="00412866">
            <w:pPr>
              <w:pStyle w:val="TB"/>
            </w:pPr>
          </w:p>
        </w:tc>
      </w:tr>
      <w:tr w:rsidR="0092145F" w:rsidRPr="0092145F" w:rsidTr="00C10535">
        <w:trPr>
          <w:trHeight w:val="60"/>
        </w:trPr>
        <w:tc>
          <w:tcPr>
            <w:tcW w:w="9769" w:type="dxa"/>
            <w:gridSpan w:val="2"/>
            <w:tcBorders>
              <w:top w:val="dotted" w:sz="12" w:space="0" w:color="FF6A17"/>
              <w:left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0" w:type="dxa"/>
              <w:right w:w="240" w:type="dxa"/>
            </w:tcMar>
          </w:tcPr>
          <w:p w:rsidR="0092145F" w:rsidRPr="00C10535" w:rsidRDefault="0092145F" w:rsidP="0092145F">
            <w:pPr>
              <w:pStyle w:val="Modelheadrule"/>
              <w:pBdr>
                <w:top w:val="none" w:sz="0" w:space="0" w:color="auto"/>
              </w:pBdr>
              <w:rPr>
                <w:color w:val="05B69F"/>
              </w:rPr>
            </w:pPr>
            <w:r w:rsidRPr="00C10535">
              <w:rPr>
                <w:color w:val="05B69F"/>
              </w:rPr>
              <w:t>Assessment Formats:</w:t>
            </w:r>
          </w:p>
        </w:tc>
      </w:tr>
      <w:tr w:rsidR="0092145F" w:rsidRPr="0092145F" w:rsidTr="000E1A54">
        <w:trPr>
          <w:trHeight w:val="60"/>
        </w:trPr>
        <w:tc>
          <w:tcPr>
            <w:tcW w:w="4885" w:type="dxa"/>
            <w:tcBorders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160" w:type="dxa"/>
              <w:left w:w="240" w:type="dxa"/>
              <w:bottom w:w="240" w:type="dxa"/>
              <w:right w:w="240" w:type="dxa"/>
            </w:tcMar>
          </w:tcPr>
          <w:p w:rsidR="000E1A54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Multiple choice items</w:t>
            </w:r>
          </w:p>
          <w:p w:rsidR="000E1A54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Dichotomous choice items</w:t>
            </w:r>
          </w:p>
          <w:p w:rsidR="000E1A54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Short, constructed response items</w:t>
            </w:r>
          </w:p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Extended essay response</w:t>
            </w:r>
          </w:p>
        </w:tc>
        <w:tc>
          <w:tcPr>
            <w:tcW w:w="4884" w:type="dxa"/>
            <w:tcBorders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160" w:type="dxa"/>
              <w:left w:w="240" w:type="dxa"/>
              <w:bottom w:w="240" w:type="dxa"/>
              <w:right w:w="240" w:type="dxa"/>
            </w:tcMar>
          </w:tcPr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Culminating individual project</w:t>
            </w:r>
          </w:p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Culminating group project</w:t>
            </w:r>
          </w:p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 xml:space="preserve">Performance </w:t>
            </w:r>
          </w:p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Portfolio or exhibition</w:t>
            </w:r>
          </w:p>
        </w:tc>
      </w:tr>
      <w:tr w:rsidR="0092145F" w:rsidRPr="0092145F" w:rsidTr="000E1A54">
        <w:trPr>
          <w:trHeight w:val="60"/>
        </w:trPr>
        <w:tc>
          <w:tcPr>
            <w:tcW w:w="976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145F" w:rsidRPr="00C10535" w:rsidRDefault="0092145F" w:rsidP="000E1A54">
            <w:pPr>
              <w:pStyle w:val="Modelheadrule"/>
              <w:pBdr>
                <w:top w:val="none" w:sz="0" w:space="0" w:color="auto"/>
              </w:pBdr>
              <w:spacing w:after="120"/>
              <w:rPr>
                <w:color w:val="05B69F"/>
              </w:rPr>
            </w:pPr>
            <w:r w:rsidRPr="00C10535">
              <w:rPr>
                <w:color w:val="05B69F"/>
              </w:rPr>
              <w:t xml:space="preserve">Relevancy Check: </w:t>
            </w:r>
            <w:r w:rsidRPr="000E1A54">
              <w:rPr>
                <w:i/>
                <w:color w:val="05B69F"/>
              </w:rPr>
              <w:t>Does this assessment demonstrate</w:t>
            </w:r>
            <w:r w:rsidRPr="00C10535">
              <w:rPr>
                <w:color w:val="05B69F"/>
              </w:rPr>
              <w:t xml:space="preserve"> . . . </w:t>
            </w:r>
          </w:p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Relevancy outside the classroom?</w:t>
            </w:r>
          </w:p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Relevancy co-constructed with students?</w:t>
            </w:r>
          </w:p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Learning about oneself as a learner?</w:t>
            </w:r>
          </w:p>
          <w:p w:rsidR="0092145F" w:rsidRDefault="0092145F" w:rsidP="000E1A54">
            <w:pPr>
              <w:pStyle w:val="TBBL"/>
              <w:numPr>
                <w:ilvl w:val="0"/>
                <w:numId w:val="3"/>
              </w:numPr>
              <w:ind w:left="186" w:hanging="186"/>
            </w:pPr>
            <w:r>
              <w:t>Relevancy within the discipline?</w:t>
            </w:r>
          </w:p>
        </w:tc>
      </w:tr>
    </w:tbl>
    <w:p w:rsidR="00931D0D" w:rsidRDefault="00931D0D">
      <w:pPr>
        <w:rPr>
          <w:rFonts w:ascii="ProximaNova-Regular" w:hAnsi="ProximaNova-Regular" w:cs="ProximaNova-Regular"/>
        </w:rPr>
        <w:sectPr w:rsidR="00931D0D" w:rsidSect="00B82613">
          <w:footerReference w:type="default" r:id="rId8"/>
          <w:pgSz w:w="12240" w:h="15840" w:code="1"/>
          <w:pgMar w:top="720" w:right="1220" w:bottom="720" w:left="1220" w:header="619" w:footer="562" w:gutter="0"/>
          <w:cols w:space="720"/>
          <w:noEndnote/>
          <w:docGrid w:linePitch="326"/>
        </w:sectPr>
      </w:pPr>
    </w:p>
    <w:tbl>
      <w:tblPr>
        <w:tblW w:w="0" w:type="auto"/>
        <w:tblInd w:w="240" w:type="dxa"/>
        <w:tblBorders>
          <w:top w:val="dotted" w:sz="12" w:space="0" w:color="FF6A17"/>
          <w:left w:val="dotted" w:sz="12" w:space="0" w:color="FF6A17"/>
          <w:bottom w:val="dotted" w:sz="12" w:space="0" w:color="FF6A17"/>
          <w:right w:val="dotted" w:sz="12" w:space="0" w:color="FF6A1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5500A" w:rsidTr="00C654E1">
        <w:trPr>
          <w:trHeight w:val="13080"/>
        </w:trPr>
        <w:tc>
          <w:tcPr>
            <w:tcW w:w="9769" w:type="dxa"/>
            <w:tcBorders>
              <w:top w:val="dotted" w:sz="12" w:space="0" w:color="FF6A17"/>
              <w:bottom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0E1A54" w:rsidRDefault="0035500A" w:rsidP="00C10535">
            <w:pPr>
              <w:pStyle w:val="Modelheadrule"/>
              <w:pBdr>
                <w:top w:val="none" w:sz="0" w:space="0" w:color="auto"/>
              </w:pBdr>
              <w:rPr>
                <w:color w:val="05B69F"/>
              </w:rPr>
            </w:pPr>
            <w:r w:rsidRPr="000E1A54">
              <w:rPr>
                <w:color w:val="05B69F"/>
              </w:rPr>
              <w:lastRenderedPageBreak/>
              <w:t>Assessment Details:</w:t>
            </w:r>
          </w:p>
          <w:p w:rsidR="0035500A" w:rsidRDefault="0035500A">
            <w:pPr>
              <w:pStyle w:val="TB"/>
            </w:pPr>
          </w:p>
        </w:tc>
      </w:tr>
    </w:tbl>
    <w:p w:rsidR="0035500A" w:rsidRDefault="0035500A">
      <w:pPr>
        <w:rPr>
          <w:rFonts w:ascii="ProximaNova-Regular" w:hAnsi="ProximaNova-Regular" w:cs="ProximaNova-Regular"/>
        </w:rPr>
      </w:pPr>
    </w:p>
    <w:sectPr w:rsidR="0035500A" w:rsidSect="00B82613">
      <w:footerReference w:type="default" r:id="rId9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93" w:rsidRDefault="00BD3E93" w:rsidP="00D82BC0">
      <w:pPr>
        <w:spacing w:line="240" w:lineRule="auto"/>
      </w:pPr>
      <w:r>
        <w:separator/>
      </w:r>
    </w:p>
  </w:endnote>
  <w:endnote w:type="continuationSeparator" w:id="0">
    <w:p w:rsidR="00BD3E93" w:rsidRDefault="00BD3E93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931D0D" w:rsidRDefault="00931D0D" w:rsidP="00931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93" w:rsidRDefault="00BD3E93" w:rsidP="00D82BC0">
      <w:pPr>
        <w:spacing w:line="240" w:lineRule="auto"/>
      </w:pPr>
      <w:r>
        <w:separator/>
      </w:r>
    </w:p>
  </w:footnote>
  <w:footnote w:type="continuationSeparator" w:id="0">
    <w:p w:rsidR="00BD3E93" w:rsidRDefault="00BD3E93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13B8C"/>
    <w:rsid w:val="00057BBA"/>
    <w:rsid w:val="00070EE3"/>
    <w:rsid w:val="000E1A54"/>
    <w:rsid w:val="001B0FB0"/>
    <w:rsid w:val="001C6822"/>
    <w:rsid w:val="002634D0"/>
    <w:rsid w:val="00297BDD"/>
    <w:rsid w:val="00332902"/>
    <w:rsid w:val="0035500A"/>
    <w:rsid w:val="003839CF"/>
    <w:rsid w:val="003E1FE4"/>
    <w:rsid w:val="003F11A8"/>
    <w:rsid w:val="00412866"/>
    <w:rsid w:val="00453815"/>
    <w:rsid w:val="00477836"/>
    <w:rsid w:val="005271D4"/>
    <w:rsid w:val="00564C58"/>
    <w:rsid w:val="005D54AB"/>
    <w:rsid w:val="005D56B2"/>
    <w:rsid w:val="0063298F"/>
    <w:rsid w:val="00730B39"/>
    <w:rsid w:val="00790FD3"/>
    <w:rsid w:val="007F5B65"/>
    <w:rsid w:val="008A0AB8"/>
    <w:rsid w:val="008E7C15"/>
    <w:rsid w:val="0092145F"/>
    <w:rsid w:val="00931D0D"/>
    <w:rsid w:val="00986C22"/>
    <w:rsid w:val="00987C4D"/>
    <w:rsid w:val="00AA67B1"/>
    <w:rsid w:val="00B82613"/>
    <w:rsid w:val="00BA2AB0"/>
    <w:rsid w:val="00BA7424"/>
    <w:rsid w:val="00BD3E93"/>
    <w:rsid w:val="00C10535"/>
    <w:rsid w:val="00C14DDD"/>
    <w:rsid w:val="00C654E1"/>
    <w:rsid w:val="00CE4846"/>
    <w:rsid w:val="00D057E6"/>
    <w:rsid w:val="00D20BA6"/>
    <w:rsid w:val="00D51E4A"/>
    <w:rsid w:val="00D53438"/>
    <w:rsid w:val="00D55BC1"/>
    <w:rsid w:val="00D82BC0"/>
    <w:rsid w:val="00E94216"/>
    <w:rsid w:val="00EC4F44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FE0047-23A3-4226-92A1-B8C6F69D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CE11-FBD3-49CC-BDDD-E48AD4BD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8</cp:revision>
  <dcterms:created xsi:type="dcterms:W3CDTF">2018-09-04T11:50:00Z</dcterms:created>
  <dcterms:modified xsi:type="dcterms:W3CDTF">2018-09-28T18:32:00Z</dcterms:modified>
</cp:coreProperties>
</file>